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DE" w:rsidRDefault="00410537">
      <w:pPr>
        <w:pStyle w:val="PreformattedText"/>
        <w:jc w:val="center"/>
      </w:pPr>
      <w:r>
        <w:rPr>
          <w:rFonts w:ascii="Verdana" w:hAnsi="Verdana"/>
          <w:b/>
          <w:bCs/>
          <w:sz w:val="24"/>
          <w:szCs w:val="24"/>
        </w:rPr>
        <w:t>Péče o seniora s poruchami sluchu</w:t>
      </w:r>
    </w:p>
    <w:p w:rsidR="00EA38DE" w:rsidRDefault="00EA38DE">
      <w:pPr>
        <w:pStyle w:val="PreformattedText"/>
        <w:jc w:val="center"/>
        <w:rPr>
          <w:rFonts w:ascii="Verdana" w:hAnsi="Verdana"/>
          <w:b/>
          <w:bCs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>Nedoslýchavost</w:t>
      </w:r>
    </w:p>
    <w:p w:rsidR="00EA38DE" w:rsidRDefault="00EA38DE">
      <w:pPr>
        <w:pStyle w:val="PreformattedText"/>
        <w:rPr>
          <w:rFonts w:ascii="Verdana" w:hAnsi="Verdana"/>
          <w:b/>
          <w:bCs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Po 60. roce věku dochází k atrofickým změnám ve sluchové dráze, které vedou k nedoslýchavosti.</w:t>
      </w: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 xml:space="preserve">Ztráta sluchu omezuje komunikaci seniora </w:t>
      </w:r>
      <w:proofErr w:type="gramStart"/>
      <w:r>
        <w:rPr>
          <w:rFonts w:ascii="Verdana" w:hAnsi="Verdana"/>
          <w:sz w:val="24"/>
          <w:szCs w:val="24"/>
        </w:rPr>
        <w:t>se</w:t>
      </w:r>
      <w:proofErr w:type="gramEnd"/>
      <w:r>
        <w:rPr>
          <w:rFonts w:ascii="Verdana" w:hAnsi="Verdana"/>
          <w:sz w:val="24"/>
          <w:szCs w:val="24"/>
        </w:rPr>
        <w:t xml:space="preserve"> jeho okolím a negativně ovlivňuje kvalitu života zejména v oblasti psychické a sociální, může vést až k sociální izolaci seniora.</w:t>
      </w: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Zpravidla bývá porucha oboustranná a objevuje se více u lidí, kteří bydleli nebo pracovali v hlučném prostředí.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Další rizi</w:t>
      </w:r>
      <w:r>
        <w:rPr>
          <w:rFonts w:ascii="Verdana" w:hAnsi="Verdana"/>
          <w:sz w:val="24"/>
          <w:szCs w:val="24"/>
        </w:rPr>
        <w:t>kové faktory nedoslýchavosti:</w:t>
      </w:r>
    </w:p>
    <w:p w:rsidR="00EA38DE" w:rsidRDefault="00410537">
      <w:pPr>
        <w:pStyle w:val="PreformattedText"/>
        <w:numPr>
          <w:ilvl w:val="0"/>
          <w:numId w:val="12"/>
        </w:numPr>
      </w:pPr>
      <w:r>
        <w:rPr>
          <w:rFonts w:ascii="Verdana" w:hAnsi="Verdana"/>
          <w:sz w:val="24"/>
          <w:szCs w:val="24"/>
        </w:rPr>
        <w:t>některé léky</w:t>
      </w:r>
    </w:p>
    <w:p w:rsidR="00EA38DE" w:rsidRDefault="00410537">
      <w:pPr>
        <w:pStyle w:val="PreformattedText"/>
        <w:numPr>
          <w:ilvl w:val="0"/>
          <w:numId w:val="1"/>
        </w:numPr>
      </w:pPr>
      <w:r>
        <w:rPr>
          <w:rFonts w:ascii="Verdana" w:hAnsi="Verdana"/>
          <w:sz w:val="24"/>
          <w:szCs w:val="24"/>
        </w:rPr>
        <w:t>ateroskleróza</w:t>
      </w:r>
    </w:p>
    <w:p w:rsidR="00EA38DE" w:rsidRDefault="00410537">
      <w:pPr>
        <w:pStyle w:val="PreformattedText"/>
        <w:numPr>
          <w:ilvl w:val="0"/>
          <w:numId w:val="1"/>
        </w:numPr>
      </w:pPr>
      <w:r>
        <w:rPr>
          <w:rFonts w:ascii="Verdana" w:hAnsi="Verdana"/>
          <w:sz w:val="24"/>
          <w:szCs w:val="24"/>
        </w:rPr>
        <w:t>toxické látky</w:t>
      </w:r>
    </w:p>
    <w:p w:rsidR="00EA38DE" w:rsidRDefault="00410537">
      <w:pPr>
        <w:pStyle w:val="PreformattedText"/>
        <w:numPr>
          <w:ilvl w:val="0"/>
          <w:numId w:val="1"/>
        </w:numPr>
      </w:pPr>
      <w:r>
        <w:rPr>
          <w:rFonts w:ascii="Verdana" w:hAnsi="Verdana"/>
          <w:sz w:val="24"/>
          <w:szCs w:val="24"/>
        </w:rPr>
        <w:t>nedostatečná výživa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Nedoslýchavost často senioři tají z důvodu studu nebo ji považují za něco, co ke stáří běžně patří a není třeba o tom mluvit.</w:t>
      </w: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Senior by měl být vyšetřen lékařem – s</w:t>
      </w:r>
      <w:r>
        <w:rPr>
          <w:rFonts w:ascii="Verdana" w:hAnsi="Verdana"/>
          <w:sz w:val="24"/>
          <w:szCs w:val="24"/>
        </w:rPr>
        <w:t>pecialistou, který určí příčinu nedoslýchavosti a léčbu. Sluch lze korigovat pomocí sluchadel, která umožňují porozumět zvukovým signálům z okolí.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>Zásady komunikace s klientem se zhoršeným sluchem</w:t>
      </w:r>
    </w:p>
    <w:p w:rsidR="00EA38DE" w:rsidRDefault="00EA38DE">
      <w:pPr>
        <w:pStyle w:val="PreformattedText"/>
        <w:rPr>
          <w:rFonts w:ascii="Verdana" w:hAnsi="Verdana"/>
          <w:b/>
          <w:bCs/>
          <w:sz w:val="24"/>
          <w:szCs w:val="24"/>
        </w:rPr>
      </w:pPr>
    </w:p>
    <w:p w:rsidR="00EA38DE" w:rsidRDefault="00410537">
      <w:pPr>
        <w:pStyle w:val="PreformattedText"/>
        <w:numPr>
          <w:ilvl w:val="0"/>
          <w:numId w:val="13"/>
        </w:numPr>
      </w:pPr>
      <w:r>
        <w:rPr>
          <w:rFonts w:ascii="Verdana" w:hAnsi="Verdana"/>
          <w:sz w:val="24"/>
          <w:szCs w:val="24"/>
        </w:rPr>
        <w:t>hovoříme pomalu, v kratších větách, nepoužíváme rozvinutá</w:t>
      </w:r>
      <w:r>
        <w:rPr>
          <w:rFonts w:ascii="Verdana" w:hAnsi="Verdana"/>
          <w:sz w:val="24"/>
          <w:szCs w:val="24"/>
        </w:rPr>
        <w:t xml:space="preserve"> souvětí</w:t>
      </w:r>
    </w:p>
    <w:p w:rsidR="00EA38DE" w:rsidRDefault="00410537">
      <w:pPr>
        <w:pStyle w:val="PreformattedText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>zřetelně artikulujeme</w:t>
      </w:r>
    </w:p>
    <w:p w:rsidR="00EA38DE" w:rsidRDefault="00410537">
      <w:pPr>
        <w:pStyle w:val="PreformattedText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>hovoříme nahlas, avšak nekřičíme (vyšší tón hlasu senior hůře slyší)</w:t>
      </w:r>
    </w:p>
    <w:p w:rsidR="00EA38DE" w:rsidRDefault="00410537">
      <w:pPr>
        <w:pStyle w:val="PreformattedText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>k seniorovi stojíme čelem, aby mohl řádně odezírat (vousy brání v odezírání)</w:t>
      </w:r>
    </w:p>
    <w:p w:rsidR="00EA38DE" w:rsidRDefault="00410537">
      <w:pPr>
        <w:pStyle w:val="PreformattedText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 xml:space="preserve">nestojíme zády k oknu – naše postava a tvář představují tmavý bod, senior </w:t>
      </w:r>
      <w:r>
        <w:rPr>
          <w:rFonts w:ascii="Verdana" w:hAnsi="Verdana"/>
          <w:sz w:val="24"/>
          <w:szCs w:val="24"/>
        </w:rPr>
        <w:t>nemůže dobře odezírat</w:t>
      </w:r>
    </w:p>
    <w:p w:rsidR="00EA38DE" w:rsidRDefault="00410537">
      <w:pPr>
        <w:pStyle w:val="PreformattedText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>ptáme se, zda senior rozumí sdělené informaci, žádáme zpětnou vazbu (hlavně u pokynů k následné péči)</w:t>
      </w:r>
    </w:p>
    <w:p w:rsidR="00EA38DE" w:rsidRDefault="00410537">
      <w:pPr>
        <w:pStyle w:val="PreformattedText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>kontrolujeme neverbální projevy klienta, které mohou vypovídat o neporozumění sdělené informaci</w:t>
      </w:r>
    </w:p>
    <w:p w:rsidR="00EA38DE" w:rsidRDefault="00410537">
      <w:pPr>
        <w:pStyle w:val="PreformattedText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>jsme trpěliví, senior potřebuje více</w:t>
      </w:r>
      <w:r>
        <w:rPr>
          <w:rFonts w:ascii="Verdana" w:hAnsi="Verdana"/>
          <w:sz w:val="24"/>
          <w:szCs w:val="24"/>
        </w:rPr>
        <w:t xml:space="preserve"> času na zachycení informace a její zpracování</w:t>
      </w:r>
    </w:p>
    <w:p w:rsidR="00EA38DE" w:rsidRDefault="00410537">
      <w:pPr>
        <w:pStyle w:val="PreformattedText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>dáváme klientovi dostatek času na odpověď</w:t>
      </w:r>
    </w:p>
    <w:p w:rsidR="00EA38DE" w:rsidRDefault="00410537">
      <w:pPr>
        <w:pStyle w:val="PreformattedText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>dostatečně klienta chválíme za spolupráci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Senior s nedoslýchavostí nepotřebuje zvláštní péči, pokud to nevyžaduje jeho zdravotní stav.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lastRenderedPageBreak/>
        <w:t>Používání sluchadel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Funkcí sl</w:t>
      </w:r>
      <w:r>
        <w:rPr>
          <w:rFonts w:ascii="Verdana" w:hAnsi="Verdana"/>
          <w:sz w:val="24"/>
          <w:szCs w:val="24"/>
        </w:rPr>
        <w:t>uchadel je zesílení zvuku, hlavně řeči. Zajišťují tak příjem signálů z okolí a možnost komunikace seniora s ostatními osobami.</w:t>
      </w: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Sluchadla zdravý sluch nenavrátí, avšak výrazně přispívají ke zvýšení kvality života seniora.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>Druhy sluchadel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  <w:numPr>
          <w:ilvl w:val="0"/>
          <w:numId w:val="14"/>
        </w:numPr>
      </w:pPr>
      <w:r>
        <w:rPr>
          <w:rFonts w:ascii="Verdana" w:hAnsi="Verdana"/>
          <w:sz w:val="24"/>
          <w:szCs w:val="24"/>
        </w:rPr>
        <w:t>závěsná sluchadl</w:t>
      </w:r>
      <w:r>
        <w:rPr>
          <w:rFonts w:ascii="Verdana" w:hAnsi="Verdana"/>
          <w:sz w:val="24"/>
          <w:szCs w:val="24"/>
        </w:rPr>
        <w:t>a – jsou zavěšena za ušním boltcem a zvuk je přiváděn k bubínku plastovou trubičkou</w:t>
      </w:r>
    </w:p>
    <w:p w:rsidR="00EA38DE" w:rsidRDefault="00410537">
      <w:pPr>
        <w:pStyle w:val="PreformattedText"/>
        <w:numPr>
          <w:ilvl w:val="0"/>
          <w:numId w:val="3"/>
        </w:numPr>
      </w:pPr>
      <w:r>
        <w:rPr>
          <w:rFonts w:ascii="Verdana" w:hAnsi="Verdana"/>
          <w:sz w:val="24"/>
          <w:szCs w:val="24"/>
        </w:rPr>
        <w:t>nitroušní sluchadla – vkládají se přímo do zevního zvukovodu nebo do ušního boltce</w:t>
      </w:r>
    </w:p>
    <w:p w:rsidR="00EA38DE" w:rsidRDefault="00410537">
      <w:pPr>
        <w:pStyle w:val="PreformattedText"/>
        <w:numPr>
          <w:ilvl w:val="0"/>
          <w:numId w:val="3"/>
        </w:numPr>
      </w:pPr>
      <w:r>
        <w:rPr>
          <w:rFonts w:ascii="Verdana" w:hAnsi="Verdana"/>
          <w:sz w:val="24"/>
          <w:szCs w:val="24"/>
        </w:rPr>
        <w:t>kapesní sluchadla – starý typ sluchadel, málo používaná</w:t>
      </w:r>
    </w:p>
    <w:p w:rsidR="00EA38DE" w:rsidRDefault="00410537">
      <w:pPr>
        <w:pStyle w:val="PreformattedText"/>
        <w:numPr>
          <w:ilvl w:val="0"/>
          <w:numId w:val="3"/>
        </w:numPr>
      </w:pPr>
      <w:r>
        <w:rPr>
          <w:rFonts w:ascii="Verdana" w:hAnsi="Verdana"/>
          <w:sz w:val="24"/>
          <w:szCs w:val="24"/>
        </w:rPr>
        <w:t xml:space="preserve">brýlová sluchadla – sluchadlo je </w:t>
      </w:r>
      <w:r>
        <w:rPr>
          <w:rFonts w:ascii="Verdana" w:hAnsi="Verdana"/>
          <w:sz w:val="24"/>
          <w:szCs w:val="24"/>
        </w:rPr>
        <w:t>schováno do nožiček brýlí, dnes už málo užívána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>Péče o sluchadlo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V každém sluchadle je mikrofon, zesilovač zvuku, regulátor hlasitosti, baterie.</w:t>
      </w: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Každý senior se musí naučit pečovat o sluchadlo, musí vědět, jak vyměnit baterky a musí udržovat sluchadlo v</w:t>
      </w:r>
      <w:r>
        <w:rPr>
          <w:rFonts w:ascii="Verdana" w:hAnsi="Verdana"/>
          <w:sz w:val="24"/>
          <w:szCs w:val="24"/>
        </w:rPr>
        <w:t xml:space="preserve"> suchu a čistotě.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Další zásady péče o sluchadlo:</w:t>
      </w:r>
    </w:p>
    <w:p w:rsidR="00EA38DE" w:rsidRDefault="00410537">
      <w:pPr>
        <w:pStyle w:val="PreformattedText"/>
        <w:numPr>
          <w:ilvl w:val="0"/>
          <w:numId w:val="15"/>
        </w:numPr>
      </w:pPr>
      <w:r>
        <w:rPr>
          <w:rFonts w:ascii="Verdana" w:hAnsi="Verdana"/>
          <w:sz w:val="24"/>
          <w:szCs w:val="24"/>
        </w:rPr>
        <w:t>sluchadlo se ukládá do pouzdra na suché a bezpečné místo mimo dosah dětí a domácích zvířat</w:t>
      </w:r>
    </w:p>
    <w:p w:rsidR="00EA38DE" w:rsidRDefault="00410537">
      <w:pPr>
        <w:pStyle w:val="PreformattedText"/>
        <w:numPr>
          <w:ilvl w:val="0"/>
          <w:numId w:val="4"/>
        </w:numPr>
      </w:pPr>
      <w:r>
        <w:rPr>
          <w:rFonts w:ascii="Verdana" w:hAnsi="Verdana"/>
          <w:sz w:val="24"/>
          <w:szCs w:val="24"/>
        </w:rPr>
        <w:t>sluchadlo se nesmí vystavovat extrémním teplotám a vlhkosti</w:t>
      </w:r>
    </w:p>
    <w:p w:rsidR="00EA38DE" w:rsidRDefault="00410537">
      <w:pPr>
        <w:pStyle w:val="PreformattedText"/>
        <w:numPr>
          <w:ilvl w:val="0"/>
          <w:numId w:val="4"/>
        </w:numPr>
      </w:pPr>
      <w:r>
        <w:rPr>
          <w:rFonts w:ascii="Verdana" w:hAnsi="Verdana"/>
          <w:sz w:val="24"/>
          <w:szCs w:val="24"/>
        </w:rPr>
        <w:t>nenosí se do sprchy nebo do bazénu</w:t>
      </w:r>
    </w:p>
    <w:p w:rsidR="00EA38DE" w:rsidRDefault="00410537">
      <w:pPr>
        <w:pStyle w:val="PreformattedText"/>
        <w:numPr>
          <w:ilvl w:val="0"/>
          <w:numId w:val="4"/>
        </w:numPr>
      </w:pPr>
      <w:r>
        <w:rPr>
          <w:rFonts w:ascii="Verdana" w:hAnsi="Verdana"/>
          <w:sz w:val="24"/>
          <w:szCs w:val="24"/>
        </w:rPr>
        <w:t xml:space="preserve">nepoužívá se při </w:t>
      </w:r>
      <w:r>
        <w:rPr>
          <w:rFonts w:ascii="Verdana" w:hAnsi="Verdana"/>
          <w:sz w:val="24"/>
          <w:szCs w:val="24"/>
        </w:rPr>
        <w:t>vysoušení vlasů fénem, při používání laku na vlasy</w:t>
      </w:r>
    </w:p>
    <w:p w:rsidR="00EA38DE" w:rsidRDefault="00410537">
      <w:pPr>
        <w:pStyle w:val="PreformattedText"/>
        <w:numPr>
          <w:ilvl w:val="0"/>
          <w:numId w:val="4"/>
        </w:numPr>
      </w:pPr>
      <w:r>
        <w:rPr>
          <w:rFonts w:ascii="Verdana" w:hAnsi="Verdana"/>
          <w:sz w:val="24"/>
          <w:szCs w:val="24"/>
        </w:rPr>
        <w:t>nepoužívá se při CT vyšetření, magnetické rezonanci</w:t>
      </w:r>
    </w:p>
    <w:p w:rsidR="00EA38DE" w:rsidRDefault="00410537">
      <w:pPr>
        <w:pStyle w:val="PreformattedText"/>
        <w:numPr>
          <w:ilvl w:val="0"/>
          <w:numId w:val="4"/>
        </w:numPr>
      </w:pPr>
      <w:r>
        <w:rPr>
          <w:rFonts w:ascii="Verdana" w:hAnsi="Verdana"/>
          <w:sz w:val="24"/>
          <w:szCs w:val="24"/>
        </w:rPr>
        <w:t>vypíná se, když se nepoužívá</w:t>
      </w:r>
    </w:p>
    <w:p w:rsidR="00EA38DE" w:rsidRDefault="00410537">
      <w:pPr>
        <w:pStyle w:val="PreformattedText"/>
        <w:numPr>
          <w:ilvl w:val="0"/>
          <w:numId w:val="4"/>
        </w:numPr>
      </w:pPr>
      <w:r>
        <w:rPr>
          <w:rFonts w:ascii="Verdana" w:hAnsi="Verdana"/>
          <w:sz w:val="24"/>
          <w:szCs w:val="24"/>
        </w:rPr>
        <w:t>pravidelně kontrolujeme ušní vložku, zda v ní není ušní maz, vlhko; pokud ano, musí se vyčistit vatovou štětičkou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Senior (n</w:t>
      </w:r>
      <w:r>
        <w:rPr>
          <w:rFonts w:ascii="Verdana" w:hAnsi="Verdana"/>
          <w:sz w:val="24"/>
          <w:szCs w:val="24"/>
        </w:rPr>
        <w:t>ebo rodinný příslušník) by měl být poučen o tom, co dělat, když není sluchadlo dostatečně hlasité, píská v něm nebo není funkční.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>Signalizační systémy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Kromě sluchadel existují na trhu různé signalizační systémy, které zkvalitňují život nedoslýchavých neb</w:t>
      </w:r>
      <w:r>
        <w:rPr>
          <w:rFonts w:ascii="Verdana" w:hAnsi="Verdana"/>
          <w:sz w:val="24"/>
          <w:szCs w:val="24"/>
        </w:rPr>
        <w:t>o neslyšících osob: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  <w:numPr>
          <w:ilvl w:val="0"/>
          <w:numId w:val="16"/>
        </w:numPr>
      </w:pPr>
      <w:r>
        <w:rPr>
          <w:rFonts w:ascii="Verdana" w:hAnsi="Verdana"/>
          <w:sz w:val="24"/>
          <w:szCs w:val="24"/>
        </w:rPr>
        <w:t>signalizace telefonního zvuku, bytového a domovního zvonku</w:t>
      </w:r>
    </w:p>
    <w:p w:rsidR="00EA38DE" w:rsidRDefault="00410537">
      <w:pPr>
        <w:pStyle w:val="PreformattedText"/>
        <w:numPr>
          <w:ilvl w:val="0"/>
          <w:numId w:val="5"/>
        </w:numPr>
      </w:pPr>
      <w:r>
        <w:rPr>
          <w:rFonts w:ascii="Verdana" w:hAnsi="Verdana"/>
          <w:sz w:val="24"/>
          <w:szCs w:val="24"/>
        </w:rPr>
        <w:t>televizor s teletextem</w:t>
      </w:r>
    </w:p>
    <w:p w:rsidR="00EA38DE" w:rsidRDefault="00410537">
      <w:pPr>
        <w:pStyle w:val="PreformattedText"/>
        <w:numPr>
          <w:ilvl w:val="0"/>
          <w:numId w:val="5"/>
        </w:numPr>
      </w:pPr>
      <w:r>
        <w:rPr>
          <w:rFonts w:ascii="Verdana" w:hAnsi="Verdana"/>
          <w:sz w:val="24"/>
          <w:szCs w:val="24"/>
        </w:rPr>
        <w:t>světelný nebo vibrační budík</w:t>
      </w:r>
    </w:p>
    <w:p w:rsidR="00EA38DE" w:rsidRDefault="00410537">
      <w:pPr>
        <w:pStyle w:val="PreformattedText"/>
        <w:numPr>
          <w:ilvl w:val="0"/>
          <w:numId w:val="5"/>
        </w:numPr>
      </w:pPr>
      <w:r>
        <w:rPr>
          <w:rFonts w:ascii="Verdana" w:hAnsi="Verdana"/>
          <w:sz w:val="24"/>
          <w:szCs w:val="24"/>
        </w:rPr>
        <w:lastRenderedPageBreak/>
        <w:t>záblesková lampa pro příjem signálu, záblesky se objeví, když přístroj zachytí zvukové signály telefonu, zvonku u dveří, dět</w:t>
      </w:r>
      <w:r>
        <w:rPr>
          <w:rFonts w:ascii="Verdana" w:hAnsi="Verdana"/>
          <w:sz w:val="24"/>
          <w:szCs w:val="24"/>
        </w:rPr>
        <w:t>ského pláče a další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EA38DE">
      <w:pPr>
        <w:pStyle w:val="Standard"/>
        <w:rPr>
          <w:rFonts w:ascii="Verdana" w:eastAsia="NSimSun" w:hAnsi="Verdana" w:cs="Courier New"/>
        </w:rPr>
      </w:pPr>
    </w:p>
    <w:p w:rsidR="00EA38DE" w:rsidRDefault="00EA38DE">
      <w:pPr>
        <w:pStyle w:val="PreformattedText"/>
        <w:pageBreakBefore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  <w:jc w:val="center"/>
      </w:pPr>
      <w:r>
        <w:rPr>
          <w:rFonts w:ascii="Verdana" w:hAnsi="Verdana"/>
          <w:b/>
          <w:bCs/>
          <w:sz w:val="24"/>
          <w:szCs w:val="24"/>
        </w:rPr>
        <w:t>Péče o seniora s poruchami zraku</w:t>
      </w:r>
    </w:p>
    <w:p w:rsidR="00EA38DE" w:rsidRDefault="00EA38DE">
      <w:pPr>
        <w:pStyle w:val="PreformattedText"/>
        <w:jc w:val="center"/>
        <w:rPr>
          <w:rFonts w:ascii="Verdana" w:hAnsi="Verdana"/>
          <w:b/>
          <w:bCs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Ve stáří dochází v oku ke změnám, které ovlivňují kvalitu života seniora více než zhoršený sluch. Oko představuje základní podmínku pro komunikaci s okolním světem. Již ve starším středním věku klesá</w:t>
      </w:r>
      <w:r>
        <w:rPr>
          <w:rFonts w:ascii="Verdana" w:hAnsi="Verdana"/>
          <w:sz w:val="24"/>
          <w:szCs w:val="24"/>
        </w:rPr>
        <w:t xml:space="preserve"> elastická schopnost čočky, zhoršuje se schopnost zaostřit do dálky a do blízka. Řešíme to brýlemi na čtení, proces postupně pokračuje a vyžaduje výměnu brýlí za silnější.</w:t>
      </w: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Adaptace na tmu a světlo je zpomalená, senior potřebuje více času, než se rozkouká n</w:t>
      </w:r>
      <w:r>
        <w:rPr>
          <w:rFonts w:ascii="Verdana" w:hAnsi="Verdana"/>
          <w:sz w:val="24"/>
          <w:szCs w:val="24"/>
        </w:rPr>
        <w:t>a ulici plné slunečního svitu poté, co vyjde ven z domu, příp. při vstupu do tmavé budovy z jasné ulice.</w:t>
      </w: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Sluneční svit vadí seniorům řidičům, kteří si neumí náhle poradit v silničním provozu. Ani řízení za tmy není bez nebezpečí.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>Důsledky zhoršeného zraku</w:t>
      </w:r>
      <w:r>
        <w:rPr>
          <w:rFonts w:ascii="Verdana" w:hAnsi="Verdana"/>
          <w:b/>
          <w:bCs/>
          <w:sz w:val="24"/>
          <w:szCs w:val="24"/>
        </w:rPr>
        <w:t xml:space="preserve"> ve stáří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  <w:numPr>
          <w:ilvl w:val="0"/>
          <w:numId w:val="17"/>
        </w:numPr>
      </w:pPr>
      <w:r>
        <w:rPr>
          <w:rFonts w:ascii="Verdana" w:hAnsi="Verdana"/>
          <w:sz w:val="24"/>
          <w:szCs w:val="24"/>
        </w:rPr>
        <w:t>snížená komunikace s okolím</w:t>
      </w:r>
    </w:p>
    <w:p w:rsidR="00EA38DE" w:rsidRDefault="00410537">
      <w:pPr>
        <w:pStyle w:val="PreformattedText"/>
        <w:numPr>
          <w:ilvl w:val="0"/>
          <w:numId w:val="6"/>
        </w:numPr>
      </w:pPr>
      <w:r>
        <w:rPr>
          <w:rFonts w:ascii="Verdana" w:hAnsi="Verdana"/>
          <w:sz w:val="24"/>
          <w:szCs w:val="24"/>
        </w:rPr>
        <w:t xml:space="preserve">snížená soběstačnost a </w:t>
      </w:r>
      <w:proofErr w:type="spellStart"/>
      <w:r>
        <w:rPr>
          <w:rFonts w:ascii="Verdana" w:hAnsi="Verdana"/>
          <w:sz w:val="24"/>
          <w:szCs w:val="24"/>
        </w:rPr>
        <w:t>sebepéče</w:t>
      </w:r>
      <w:proofErr w:type="spellEnd"/>
      <w:r>
        <w:rPr>
          <w:rFonts w:ascii="Verdana" w:hAnsi="Verdana"/>
          <w:sz w:val="24"/>
          <w:szCs w:val="24"/>
        </w:rPr>
        <w:t>, péče o domácnost</w:t>
      </w:r>
    </w:p>
    <w:p w:rsidR="00EA38DE" w:rsidRDefault="00410537">
      <w:pPr>
        <w:pStyle w:val="PreformattedText"/>
        <w:numPr>
          <w:ilvl w:val="0"/>
          <w:numId w:val="6"/>
        </w:numPr>
      </w:pPr>
      <w:r>
        <w:rPr>
          <w:rFonts w:ascii="Verdana" w:hAnsi="Verdana"/>
          <w:sz w:val="24"/>
          <w:szCs w:val="24"/>
        </w:rPr>
        <w:t>běžné všední činnosti trvají déle</w:t>
      </w:r>
    </w:p>
    <w:p w:rsidR="00EA38DE" w:rsidRDefault="00410537">
      <w:pPr>
        <w:pStyle w:val="PreformattedText"/>
        <w:numPr>
          <w:ilvl w:val="0"/>
          <w:numId w:val="6"/>
        </w:numPr>
      </w:pPr>
      <w:r>
        <w:rPr>
          <w:rFonts w:ascii="Verdana" w:hAnsi="Verdana"/>
          <w:sz w:val="24"/>
          <w:szCs w:val="24"/>
        </w:rPr>
        <w:t xml:space="preserve">depresivní ladění, snížená sebedůvěra, </w:t>
      </w:r>
      <w:proofErr w:type="spellStart"/>
      <w:r>
        <w:rPr>
          <w:rFonts w:ascii="Verdana" w:hAnsi="Verdana"/>
          <w:sz w:val="24"/>
          <w:szCs w:val="24"/>
        </w:rPr>
        <w:t>sebekoncepce</w:t>
      </w:r>
      <w:proofErr w:type="spellEnd"/>
    </w:p>
    <w:p w:rsidR="00EA38DE" w:rsidRDefault="00410537">
      <w:pPr>
        <w:pStyle w:val="PreformattedText"/>
        <w:numPr>
          <w:ilvl w:val="0"/>
          <w:numId w:val="6"/>
        </w:numPr>
      </w:pPr>
      <w:r>
        <w:rPr>
          <w:rFonts w:ascii="Verdana" w:hAnsi="Verdana"/>
          <w:sz w:val="24"/>
          <w:szCs w:val="24"/>
        </w:rPr>
        <w:t>sociální izolace, strach z pobytu venku</w:t>
      </w:r>
    </w:p>
    <w:p w:rsidR="00EA38DE" w:rsidRDefault="00410537">
      <w:pPr>
        <w:pStyle w:val="PreformattedText"/>
        <w:numPr>
          <w:ilvl w:val="0"/>
          <w:numId w:val="6"/>
        </w:numPr>
      </w:pPr>
      <w:r>
        <w:rPr>
          <w:rFonts w:ascii="Verdana" w:hAnsi="Verdana"/>
          <w:sz w:val="24"/>
          <w:szCs w:val="24"/>
        </w:rPr>
        <w:t>senior si nedojde nakoupit, bojí se manip</w:t>
      </w:r>
      <w:r>
        <w:rPr>
          <w:rFonts w:ascii="Verdana" w:hAnsi="Verdana"/>
          <w:sz w:val="24"/>
          <w:szCs w:val="24"/>
        </w:rPr>
        <w:t>ulace s penězi</w:t>
      </w:r>
    </w:p>
    <w:p w:rsidR="00EA38DE" w:rsidRDefault="00410537">
      <w:pPr>
        <w:pStyle w:val="PreformattedText"/>
        <w:numPr>
          <w:ilvl w:val="0"/>
          <w:numId w:val="6"/>
        </w:numPr>
      </w:pPr>
      <w:r>
        <w:rPr>
          <w:rFonts w:ascii="Verdana" w:hAnsi="Verdana"/>
          <w:sz w:val="24"/>
          <w:szCs w:val="24"/>
        </w:rPr>
        <w:t>hrozí zvýšené riziko poranění</w:t>
      </w:r>
    </w:p>
    <w:p w:rsidR="00EA38DE" w:rsidRDefault="00410537">
      <w:pPr>
        <w:pStyle w:val="PreformattedText"/>
        <w:numPr>
          <w:ilvl w:val="0"/>
          <w:numId w:val="6"/>
        </w:numPr>
      </w:pPr>
      <w:r>
        <w:rPr>
          <w:rFonts w:ascii="Verdana" w:hAnsi="Verdana"/>
          <w:sz w:val="24"/>
          <w:szCs w:val="24"/>
        </w:rPr>
        <w:t>přetrvávají úzkost a strach z pádu – může vést až ke strachu ze vstávání z lůžka</w:t>
      </w:r>
    </w:p>
    <w:p w:rsidR="00EA38DE" w:rsidRDefault="00410537">
      <w:pPr>
        <w:pStyle w:val="PreformattedText"/>
        <w:numPr>
          <w:ilvl w:val="0"/>
          <w:numId w:val="6"/>
        </w:numPr>
      </w:pPr>
      <w:r>
        <w:rPr>
          <w:rFonts w:ascii="Verdana" w:hAnsi="Verdana"/>
          <w:sz w:val="24"/>
          <w:szCs w:val="24"/>
        </w:rPr>
        <w:t>riziko záměny léků – druh léku, síla</w:t>
      </w:r>
    </w:p>
    <w:p w:rsidR="00EA38DE" w:rsidRDefault="00410537">
      <w:pPr>
        <w:pStyle w:val="PreformattedText"/>
        <w:numPr>
          <w:ilvl w:val="0"/>
          <w:numId w:val="6"/>
        </w:numPr>
      </w:pPr>
      <w:r>
        <w:rPr>
          <w:rFonts w:ascii="Verdana" w:hAnsi="Verdana"/>
          <w:sz w:val="24"/>
          <w:szCs w:val="24"/>
        </w:rPr>
        <w:t>časté hledání předmětů denní potřeby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>Katarakta – šedý zákal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 xml:space="preserve">Jde o ztrátu průhlednosti </w:t>
      </w:r>
      <w:r>
        <w:rPr>
          <w:rFonts w:ascii="Verdana" w:hAnsi="Verdana"/>
          <w:sz w:val="24"/>
          <w:szCs w:val="24"/>
        </w:rPr>
        <w:t>čočky, která se začne kalit. Hlavní příčinou je věk, cukrovka, užívání některých léků.</w:t>
      </w: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Onemocnění se léčí chirurgicky – zkalená čočka se nahradí umělou. Umělá čočka neumí akomodovat do blízka, proto musí senioři nosit brýle.</w:t>
      </w: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 xml:space="preserve">Po operaci dochází běžně ke </w:t>
      </w:r>
      <w:proofErr w:type="gramStart"/>
      <w:r>
        <w:rPr>
          <w:rFonts w:ascii="Verdana" w:hAnsi="Verdana"/>
          <w:sz w:val="24"/>
          <w:szCs w:val="24"/>
        </w:rPr>
        <w:t>sní</w:t>
      </w:r>
      <w:r>
        <w:rPr>
          <w:rFonts w:ascii="Verdana" w:hAnsi="Verdana"/>
          <w:sz w:val="24"/>
          <w:szCs w:val="24"/>
        </w:rPr>
        <w:t>ženi</w:t>
      </w:r>
      <w:proofErr w:type="gramEnd"/>
      <w:r>
        <w:rPr>
          <w:rFonts w:ascii="Verdana" w:hAnsi="Verdana"/>
          <w:sz w:val="24"/>
          <w:szCs w:val="24"/>
        </w:rPr>
        <w:t xml:space="preserve"> zrakové ostrosti, tento stav se během 4-6 týdnů upraví, do té doby se může přechodně snížit </w:t>
      </w:r>
      <w:proofErr w:type="spellStart"/>
      <w:r>
        <w:rPr>
          <w:rFonts w:ascii="Verdana" w:hAnsi="Verdana"/>
          <w:sz w:val="24"/>
          <w:szCs w:val="24"/>
        </w:rPr>
        <w:t>sebepéče</w:t>
      </w:r>
      <w:proofErr w:type="spellEnd"/>
      <w:r>
        <w:rPr>
          <w:rFonts w:ascii="Verdana" w:hAnsi="Verdana"/>
          <w:sz w:val="24"/>
          <w:szCs w:val="24"/>
        </w:rPr>
        <w:t xml:space="preserve"> seniora, neboť vidí mlhavě. Potřebuje dopomoc pečovatele – při </w:t>
      </w:r>
      <w:proofErr w:type="spellStart"/>
      <w:r>
        <w:rPr>
          <w:rFonts w:ascii="Verdana" w:hAnsi="Verdana"/>
          <w:sz w:val="24"/>
          <w:szCs w:val="24"/>
        </w:rPr>
        <w:t>sebepéči</w:t>
      </w:r>
      <w:proofErr w:type="spellEnd"/>
      <w:r>
        <w:rPr>
          <w:rFonts w:ascii="Verdana" w:hAnsi="Verdana"/>
          <w:sz w:val="24"/>
          <w:szCs w:val="24"/>
        </w:rPr>
        <w:t>, doprovodu k lékaři, na nákup apod.</w:t>
      </w: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Po operaci se má senior má vyvarovat fyzic</w:t>
      </w:r>
      <w:r>
        <w:rPr>
          <w:rFonts w:ascii="Verdana" w:hAnsi="Verdana"/>
          <w:sz w:val="24"/>
          <w:szCs w:val="24"/>
        </w:rPr>
        <w:t>ké zátěže po dobu 1,5 až 2 měsíců, nemá nosit těžká břemena nebo vykonávat práci v předklonu.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>Glaukom – zelený zákal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 xml:space="preserve">Jde o stav, kdy je zvýšen nitrooční tlak. Zvýšený nitrooční tlak poškozuje oční nerv a působí tak částečnou až úplnou ztrátu </w:t>
      </w:r>
      <w:r>
        <w:rPr>
          <w:rFonts w:ascii="Verdana" w:hAnsi="Verdana"/>
          <w:sz w:val="24"/>
          <w:szCs w:val="24"/>
        </w:rPr>
        <w:t>zraku.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Příčiny:</w:t>
      </w:r>
    </w:p>
    <w:p w:rsidR="00EA38DE" w:rsidRDefault="00410537">
      <w:pPr>
        <w:pStyle w:val="PreformattedText"/>
        <w:numPr>
          <w:ilvl w:val="0"/>
          <w:numId w:val="18"/>
        </w:numPr>
      </w:pPr>
      <w:r>
        <w:rPr>
          <w:rFonts w:ascii="Verdana" w:hAnsi="Verdana"/>
          <w:sz w:val="24"/>
          <w:szCs w:val="24"/>
        </w:rPr>
        <w:t>tekutina, která se neustále tvoří uvnitř oka, nemůže vytékat</w:t>
      </w:r>
    </w:p>
    <w:p w:rsidR="00EA38DE" w:rsidRDefault="00410537">
      <w:pPr>
        <w:pStyle w:val="PreformattedText"/>
        <w:numPr>
          <w:ilvl w:val="0"/>
          <w:numId w:val="7"/>
        </w:numPr>
      </w:pPr>
      <w:r>
        <w:rPr>
          <w:rFonts w:ascii="Verdana" w:hAnsi="Verdana"/>
          <w:sz w:val="24"/>
          <w:szCs w:val="24"/>
        </w:rPr>
        <w:t>nahromaděná tekutina utiskuje oční sítnici</w:t>
      </w:r>
    </w:p>
    <w:p w:rsidR="00EA38DE" w:rsidRDefault="00410537">
      <w:pPr>
        <w:pStyle w:val="PreformattedText"/>
        <w:numPr>
          <w:ilvl w:val="0"/>
          <w:numId w:val="7"/>
        </w:numPr>
      </w:pPr>
      <w:r>
        <w:rPr>
          <w:rFonts w:ascii="Verdana" w:hAnsi="Verdana"/>
          <w:sz w:val="24"/>
          <w:szCs w:val="24"/>
        </w:rPr>
        <w:t>jsou utiskovány i drobné cévy</w:t>
      </w:r>
    </w:p>
    <w:p w:rsidR="00EA38DE" w:rsidRDefault="00410537">
      <w:pPr>
        <w:pStyle w:val="PreformattedText"/>
        <w:numPr>
          <w:ilvl w:val="0"/>
          <w:numId w:val="7"/>
        </w:numPr>
      </w:pPr>
      <w:r>
        <w:rPr>
          <w:rFonts w:ascii="Verdana" w:hAnsi="Verdana"/>
          <w:sz w:val="24"/>
          <w:szCs w:val="24"/>
        </w:rPr>
        <w:t>je omezeno zásobení drobných nervů v sítnici</w:t>
      </w:r>
    </w:p>
    <w:p w:rsidR="00EA38DE" w:rsidRDefault="00410537">
      <w:pPr>
        <w:pStyle w:val="PreformattedText"/>
        <w:numPr>
          <w:ilvl w:val="0"/>
          <w:numId w:val="7"/>
        </w:numPr>
      </w:pPr>
      <w:r>
        <w:rPr>
          <w:rFonts w:ascii="Verdana" w:hAnsi="Verdana"/>
          <w:sz w:val="24"/>
          <w:szCs w:val="24"/>
        </w:rPr>
        <w:t>nervy odumírají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Příznaky:</w:t>
      </w:r>
    </w:p>
    <w:p w:rsidR="00EA38DE" w:rsidRDefault="00410537">
      <w:pPr>
        <w:pStyle w:val="PreformattedText"/>
        <w:numPr>
          <w:ilvl w:val="0"/>
          <w:numId w:val="19"/>
        </w:numPr>
      </w:pPr>
      <w:r>
        <w:rPr>
          <w:rFonts w:ascii="Verdana" w:hAnsi="Verdana"/>
          <w:sz w:val="24"/>
          <w:szCs w:val="24"/>
        </w:rPr>
        <w:t>zpočátku bez příznaků</w:t>
      </w:r>
    </w:p>
    <w:p w:rsidR="00EA38DE" w:rsidRDefault="00410537">
      <w:pPr>
        <w:pStyle w:val="PreformattedText"/>
        <w:numPr>
          <w:ilvl w:val="0"/>
          <w:numId w:val="8"/>
        </w:numPr>
      </w:pPr>
      <w:r>
        <w:rPr>
          <w:rFonts w:ascii="Verdana" w:hAnsi="Verdana"/>
          <w:sz w:val="24"/>
          <w:szCs w:val="24"/>
        </w:rPr>
        <w:t>náhodný obj</w:t>
      </w:r>
      <w:r>
        <w:rPr>
          <w:rFonts w:ascii="Verdana" w:hAnsi="Verdana"/>
          <w:sz w:val="24"/>
          <w:szCs w:val="24"/>
        </w:rPr>
        <w:t>ev při očním vyšetření – předpis brýlí</w:t>
      </w:r>
    </w:p>
    <w:p w:rsidR="00EA38DE" w:rsidRDefault="00410537">
      <w:pPr>
        <w:pStyle w:val="PreformattedText"/>
        <w:numPr>
          <w:ilvl w:val="0"/>
          <w:numId w:val="8"/>
        </w:numPr>
      </w:pPr>
      <w:r>
        <w:rPr>
          <w:rFonts w:ascii="Verdana" w:hAnsi="Verdana"/>
          <w:sz w:val="24"/>
          <w:szCs w:val="24"/>
        </w:rPr>
        <w:t>postupná ztráta zraku</w:t>
      </w:r>
    </w:p>
    <w:p w:rsidR="00EA38DE" w:rsidRDefault="00410537">
      <w:pPr>
        <w:pStyle w:val="PreformattedText"/>
        <w:numPr>
          <w:ilvl w:val="0"/>
          <w:numId w:val="8"/>
        </w:numPr>
      </w:pPr>
      <w:r>
        <w:rPr>
          <w:rFonts w:ascii="Verdana" w:hAnsi="Verdana"/>
          <w:sz w:val="24"/>
          <w:szCs w:val="24"/>
        </w:rPr>
        <w:t>výpadky zorného pole</w:t>
      </w:r>
    </w:p>
    <w:p w:rsidR="00EA38DE" w:rsidRDefault="00410537">
      <w:pPr>
        <w:pStyle w:val="PreformattedText"/>
        <w:numPr>
          <w:ilvl w:val="0"/>
          <w:numId w:val="8"/>
        </w:numPr>
      </w:pPr>
      <w:r>
        <w:rPr>
          <w:rFonts w:ascii="Verdana" w:hAnsi="Verdana"/>
          <w:sz w:val="24"/>
          <w:szCs w:val="24"/>
        </w:rPr>
        <w:t>ztráta periferního vidění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 xml:space="preserve">Akutní </w:t>
      </w:r>
      <w:proofErr w:type="spellStart"/>
      <w:r>
        <w:rPr>
          <w:rFonts w:ascii="Verdana" w:hAnsi="Verdana"/>
          <w:b/>
          <w:bCs/>
          <w:sz w:val="24"/>
          <w:szCs w:val="24"/>
        </w:rPr>
        <w:t>glaukomový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záchvat</w:t>
      </w:r>
    </w:p>
    <w:p w:rsidR="00EA38DE" w:rsidRDefault="00EA38DE">
      <w:pPr>
        <w:pStyle w:val="PreformattedText"/>
        <w:rPr>
          <w:rFonts w:ascii="Verdana" w:hAnsi="Verdana"/>
          <w:b/>
          <w:bCs/>
          <w:sz w:val="24"/>
          <w:szCs w:val="24"/>
        </w:rPr>
      </w:pPr>
    </w:p>
    <w:p w:rsidR="00EA38DE" w:rsidRDefault="00410537">
      <w:pPr>
        <w:pStyle w:val="PreformattedText"/>
        <w:numPr>
          <w:ilvl w:val="0"/>
          <w:numId w:val="20"/>
        </w:numPr>
      </w:pPr>
      <w:r>
        <w:rPr>
          <w:rFonts w:ascii="Verdana" w:hAnsi="Verdana"/>
          <w:sz w:val="24"/>
          <w:szCs w:val="24"/>
        </w:rPr>
        <w:t>urgentní stav, vyžadující okamžité léčení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Projevy:</w:t>
      </w:r>
    </w:p>
    <w:p w:rsidR="00EA38DE" w:rsidRDefault="00410537">
      <w:pPr>
        <w:pStyle w:val="PreformattedText"/>
        <w:numPr>
          <w:ilvl w:val="0"/>
          <w:numId w:val="9"/>
        </w:numPr>
      </w:pPr>
      <w:r>
        <w:rPr>
          <w:rFonts w:ascii="Verdana" w:hAnsi="Verdana"/>
          <w:sz w:val="24"/>
          <w:szCs w:val="24"/>
        </w:rPr>
        <w:t>krutá bolest oka, vyřazující do obličeje</w:t>
      </w:r>
    </w:p>
    <w:p w:rsidR="00EA38DE" w:rsidRDefault="00410537">
      <w:pPr>
        <w:pStyle w:val="PreformattedText"/>
        <w:numPr>
          <w:ilvl w:val="0"/>
          <w:numId w:val="9"/>
        </w:numPr>
      </w:pPr>
      <w:r>
        <w:rPr>
          <w:rFonts w:ascii="Verdana" w:hAnsi="Verdana"/>
          <w:sz w:val="24"/>
          <w:szCs w:val="24"/>
        </w:rPr>
        <w:t>snížení zrakové ostrosti</w:t>
      </w:r>
    </w:p>
    <w:p w:rsidR="00EA38DE" w:rsidRDefault="00410537">
      <w:pPr>
        <w:pStyle w:val="PreformattedText"/>
        <w:numPr>
          <w:ilvl w:val="0"/>
          <w:numId w:val="9"/>
        </w:numPr>
      </w:pPr>
      <w:r>
        <w:rPr>
          <w:rFonts w:ascii="Verdana" w:hAnsi="Verdana"/>
          <w:sz w:val="24"/>
          <w:szCs w:val="24"/>
        </w:rPr>
        <w:t>zúžení zorného pole</w:t>
      </w:r>
    </w:p>
    <w:p w:rsidR="00EA38DE" w:rsidRDefault="00410537">
      <w:pPr>
        <w:pStyle w:val="PreformattedText"/>
        <w:numPr>
          <w:ilvl w:val="0"/>
          <w:numId w:val="9"/>
        </w:numPr>
      </w:pPr>
      <w:r>
        <w:rPr>
          <w:rFonts w:ascii="Verdana" w:hAnsi="Verdana"/>
          <w:sz w:val="24"/>
          <w:szCs w:val="24"/>
        </w:rPr>
        <w:t>vidění barevných pruhů</w:t>
      </w:r>
    </w:p>
    <w:p w:rsidR="00EA38DE" w:rsidRDefault="00410537">
      <w:pPr>
        <w:pStyle w:val="PreformattedText"/>
        <w:numPr>
          <w:ilvl w:val="0"/>
          <w:numId w:val="9"/>
        </w:numPr>
      </w:pPr>
      <w:r>
        <w:rPr>
          <w:rFonts w:ascii="Verdana" w:hAnsi="Verdana"/>
          <w:sz w:val="24"/>
          <w:szCs w:val="24"/>
        </w:rPr>
        <w:t>rozšířené zornice</w:t>
      </w:r>
    </w:p>
    <w:p w:rsidR="00EA38DE" w:rsidRDefault="00410537">
      <w:pPr>
        <w:pStyle w:val="PreformattedText"/>
        <w:numPr>
          <w:ilvl w:val="0"/>
          <w:numId w:val="9"/>
        </w:numPr>
      </w:pPr>
      <w:r>
        <w:rPr>
          <w:rFonts w:ascii="Verdana" w:hAnsi="Verdana"/>
          <w:sz w:val="24"/>
          <w:szCs w:val="24"/>
        </w:rPr>
        <w:t>nauzea, zvracení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Léčba: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  <w:numPr>
          <w:ilvl w:val="0"/>
          <w:numId w:val="21"/>
        </w:numPr>
      </w:pPr>
      <w:r>
        <w:rPr>
          <w:rFonts w:ascii="Verdana" w:hAnsi="Verdana"/>
          <w:sz w:val="24"/>
          <w:szCs w:val="24"/>
        </w:rPr>
        <w:t>aplikace očních kapek</w:t>
      </w:r>
    </w:p>
    <w:p w:rsidR="00EA38DE" w:rsidRDefault="00410537">
      <w:pPr>
        <w:pStyle w:val="PreformattedText"/>
        <w:numPr>
          <w:ilvl w:val="0"/>
          <w:numId w:val="10"/>
        </w:numPr>
      </w:pPr>
      <w:r>
        <w:rPr>
          <w:rFonts w:ascii="Verdana" w:hAnsi="Verdana"/>
          <w:sz w:val="24"/>
          <w:szCs w:val="24"/>
        </w:rPr>
        <w:t>chirurgický zákrok – zlepšení odtoku nitrooční tekutiny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Ošetřovatelská péče: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  <w:numPr>
          <w:ilvl w:val="0"/>
          <w:numId w:val="22"/>
        </w:numPr>
      </w:pPr>
      <w:r>
        <w:rPr>
          <w:rFonts w:ascii="Verdana" w:hAnsi="Verdana"/>
          <w:sz w:val="24"/>
          <w:szCs w:val="24"/>
        </w:rPr>
        <w:t>pravidelná aplikace očních kapek</w:t>
      </w:r>
    </w:p>
    <w:p w:rsidR="00EA38DE" w:rsidRDefault="00410537">
      <w:pPr>
        <w:pStyle w:val="PreformattedText"/>
        <w:numPr>
          <w:ilvl w:val="0"/>
          <w:numId w:val="11"/>
        </w:numPr>
      </w:pPr>
      <w:r>
        <w:rPr>
          <w:rFonts w:ascii="Verdana" w:hAnsi="Verdana"/>
          <w:sz w:val="24"/>
          <w:szCs w:val="24"/>
        </w:rPr>
        <w:t xml:space="preserve">nezvládne-li to senior sám – </w:t>
      </w:r>
      <w:r>
        <w:rPr>
          <w:rFonts w:ascii="Verdana" w:hAnsi="Verdana"/>
          <w:sz w:val="24"/>
          <w:szCs w:val="24"/>
        </w:rPr>
        <w:t>rodinní příslušníci, sestra agentury domácí péče</w:t>
      </w:r>
    </w:p>
    <w:p w:rsidR="00EA38DE" w:rsidRDefault="00410537">
      <w:pPr>
        <w:pStyle w:val="PreformattedText"/>
        <w:numPr>
          <w:ilvl w:val="0"/>
          <w:numId w:val="11"/>
        </w:numPr>
      </w:pPr>
      <w:r>
        <w:rPr>
          <w:rFonts w:ascii="Verdana" w:hAnsi="Verdana"/>
          <w:sz w:val="24"/>
          <w:szCs w:val="24"/>
        </w:rPr>
        <w:t>nenosit těžká břemena</w:t>
      </w:r>
    </w:p>
    <w:p w:rsidR="00EA38DE" w:rsidRDefault="00410537">
      <w:pPr>
        <w:pStyle w:val="PreformattedText"/>
        <w:numPr>
          <w:ilvl w:val="0"/>
          <w:numId w:val="11"/>
        </w:numPr>
      </w:pPr>
      <w:r>
        <w:rPr>
          <w:rFonts w:ascii="Verdana" w:hAnsi="Verdana"/>
          <w:sz w:val="24"/>
          <w:szCs w:val="24"/>
        </w:rPr>
        <w:t>ne fyzická námaha</w:t>
      </w:r>
    </w:p>
    <w:p w:rsidR="00EA38DE" w:rsidRDefault="00410537">
      <w:pPr>
        <w:pStyle w:val="PreformattedText"/>
        <w:numPr>
          <w:ilvl w:val="0"/>
          <w:numId w:val="11"/>
        </w:numPr>
      </w:pPr>
      <w:r>
        <w:rPr>
          <w:rFonts w:ascii="Verdana" w:hAnsi="Verdana"/>
          <w:sz w:val="24"/>
          <w:szCs w:val="24"/>
        </w:rPr>
        <w:t>ne práce v předklonu</w:t>
      </w:r>
    </w:p>
    <w:p w:rsidR="00EA38DE" w:rsidRDefault="00410537">
      <w:pPr>
        <w:pStyle w:val="PreformattedText"/>
        <w:numPr>
          <w:ilvl w:val="0"/>
          <w:numId w:val="11"/>
        </w:numPr>
      </w:pPr>
      <w:r>
        <w:rPr>
          <w:rFonts w:ascii="Verdana" w:hAnsi="Verdana"/>
          <w:sz w:val="24"/>
          <w:szCs w:val="24"/>
        </w:rPr>
        <w:lastRenderedPageBreak/>
        <w:t>správná životospráva – omezit kofein</w:t>
      </w:r>
    </w:p>
    <w:p w:rsidR="00EA38DE" w:rsidRDefault="00410537">
      <w:pPr>
        <w:pStyle w:val="PreformattedText"/>
        <w:numPr>
          <w:ilvl w:val="0"/>
          <w:numId w:val="11"/>
        </w:numPr>
      </w:pPr>
      <w:r>
        <w:rPr>
          <w:rFonts w:ascii="Verdana" w:hAnsi="Verdana"/>
          <w:sz w:val="24"/>
          <w:szCs w:val="24"/>
        </w:rPr>
        <w:t>nepít velké množství tekutiny najednou</w:t>
      </w:r>
    </w:p>
    <w:p w:rsidR="00EA38DE" w:rsidRDefault="00410537">
      <w:pPr>
        <w:pStyle w:val="PreformattedText"/>
        <w:numPr>
          <w:ilvl w:val="0"/>
          <w:numId w:val="11"/>
        </w:numPr>
      </w:pPr>
      <w:r>
        <w:rPr>
          <w:rFonts w:ascii="Verdana" w:hAnsi="Verdana"/>
          <w:sz w:val="24"/>
          <w:szCs w:val="24"/>
        </w:rPr>
        <w:t xml:space="preserve">pravidelná návštěva </w:t>
      </w:r>
      <w:proofErr w:type="spellStart"/>
      <w:r>
        <w:rPr>
          <w:rFonts w:ascii="Verdana" w:hAnsi="Verdana"/>
          <w:sz w:val="24"/>
          <w:szCs w:val="24"/>
        </w:rPr>
        <w:t>glaukomové</w:t>
      </w:r>
      <w:proofErr w:type="spellEnd"/>
      <w:r>
        <w:rPr>
          <w:rFonts w:ascii="Verdana" w:hAnsi="Verdana"/>
          <w:sz w:val="24"/>
          <w:szCs w:val="24"/>
        </w:rPr>
        <w:t xml:space="preserve"> poradny</w:t>
      </w:r>
    </w:p>
    <w:p w:rsidR="00EA38DE" w:rsidRDefault="00410537">
      <w:pPr>
        <w:pStyle w:val="PreformattedText"/>
        <w:numPr>
          <w:ilvl w:val="0"/>
          <w:numId w:val="11"/>
        </w:numPr>
      </w:pPr>
      <w:r>
        <w:rPr>
          <w:rFonts w:ascii="Verdana" w:hAnsi="Verdana"/>
          <w:sz w:val="24"/>
          <w:szCs w:val="24"/>
        </w:rPr>
        <w:t>dopomoc při běžných denních čin</w:t>
      </w:r>
      <w:r>
        <w:rPr>
          <w:rFonts w:ascii="Verdana" w:hAnsi="Verdana"/>
          <w:sz w:val="24"/>
          <w:szCs w:val="24"/>
        </w:rPr>
        <w:t>nostech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sz w:val="24"/>
          <w:szCs w:val="24"/>
        </w:rPr>
        <w:t>Trpělivost a vlídný přístup k seniorům s postižením zraku jsou naprosto nezbytné.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EA38DE">
      <w:pPr>
        <w:pStyle w:val="PreformattedText"/>
        <w:rPr>
          <w:rFonts w:ascii="Verdana" w:hAnsi="Verdana"/>
          <w:b/>
          <w:bCs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>Organizace pomáhající osobám se zrakovým postižením či se zhoršením zraku</w:t>
      </w:r>
    </w:p>
    <w:p w:rsidR="00EA38DE" w:rsidRDefault="00EA38DE">
      <w:pPr>
        <w:pStyle w:val="PreformattedText"/>
        <w:rPr>
          <w:rFonts w:ascii="Verdana" w:hAnsi="Verdana"/>
          <w:b/>
          <w:bCs/>
          <w:sz w:val="24"/>
          <w:szCs w:val="24"/>
        </w:rPr>
      </w:pPr>
    </w:p>
    <w:p w:rsidR="00EA38DE" w:rsidRDefault="00410537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 xml:space="preserve">SONS ČR </w:t>
      </w:r>
      <w:r>
        <w:rPr>
          <w:rFonts w:ascii="Verdana" w:hAnsi="Verdana"/>
          <w:sz w:val="24"/>
          <w:szCs w:val="24"/>
        </w:rPr>
        <w:t>– sjednocená organizace nevidomých a slabozrakých v České republice – poskytuje</w:t>
      </w:r>
      <w:r>
        <w:rPr>
          <w:rFonts w:ascii="Verdana" w:hAnsi="Verdana"/>
          <w:sz w:val="24"/>
          <w:szCs w:val="24"/>
        </w:rPr>
        <w:t xml:space="preserve"> sociální služby, poradenství, průvodcovské služby</w:t>
      </w:r>
    </w:p>
    <w:p w:rsidR="00EA38DE" w:rsidRDefault="00EA38DE">
      <w:pPr>
        <w:pStyle w:val="PreformattedText"/>
        <w:rPr>
          <w:rFonts w:ascii="Verdana" w:hAnsi="Verdana"/>
          <w:sz w:val="24"/>
          <w:szCs w:val="24"/>
        </w:rPr>
      </w:pPr>
    </w:p>
    <w:p w:rsidR="00EA38DE" w:rsidRDefault="00410537">
      <w:pPr>
        <w:pStyle w:val="PreformattedText"/>
      </w:pPr>
      <w:proofErr w:type="spellStart"/>
      <w:r>
        <w:rPr>
          <w:rFonts w:ascii="Verdana" w:hAnsi="Verdana"/>
          <w:b/>
          <w:bCs/>
          <w:sz w:val="24"/>
          <w:szCs w:val="24"/>
        </w:rPr>
        <w:t>Tyfloservis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s celorepublikovou působností, poskytuje služby, poradenství, pomůcky pro nevidomé apod.</w:t>
      </w:r>
    </w:p>
    <w:sectPr w:rsidR="00EA38DE" w:rsidSect="00EA38DE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537" w:rsidRDefault="00410537" w:rsidP="00EA38DE">
      <w:r>
        <w:separator/>
      </w:r>
    </w:p>
  </w:endnote>
  <w:endnote w:type="continuationSeparator" w:id="0">
    <w:p w:rsidR="00410537" w:rsidRDefault="00410537" w:rsidP="00EA3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81" w:rsidRDefault="00293281">
    <w:pPr>
      <w:pStyle w:val="Zpat"/>
    </w:pPr>
    <w:r w:rsidRPr="00293281">
      <w:drawing>
        <wp:inline distT="0" distB="0" distL="0" distR="0">
          <wp:extent cx="5760720" cy="1162685"/>
          <wp:effectExtent l="19050" t="0" r="0" b="0"/>
          <wp:docPr id="2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537" w:rsidRDefault="00410537" w:rsidP="00EA38DE">
      <w:r w:rsidRPr="00EA38DE">
        <w:rPr>
          <w:color w:val="000000"/>
        </w:rPr>
        <w:separator/>
      </w:r>
    </w:p>
  </w:footnote>
  <w:footnote w:type="continuationSeparator" w:id="0">
    <w:p w:rsidR="00410537" w:rsidRDefault="00410537" w:rsidP="00EA38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EA8"/>
    <w:multiLevelType w:val="multilevel"/>
    <w:tmpl w:val="456A672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53A2D30"/>
    <w:multiLevelType w:val="multilevel"/>
    <w:tmpl w:val="71A677BA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9C84F14"/>
    <w:multiLevelType w:val="multilevel"/>
    <w:tmpl w:val="E0F23FFA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36EC37AD"/>
    <w:multiLevelType w:val="multilevel"/>
    <w:tmpl w:val="4E986DC2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D04093B"/>
    <w:multiLevelType w:val="multilevel"/>
    <w:tmpl w:val="93825B66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49190E09"/>
    <w:multiLevelType w:val="multilevel"/>
    <w:tmpl w:val="3334D69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4B8E4E7E"/>
    <w:multiLevelType w:val="multilevel"/>
    <w:tmpl w:val="E7A8CC9C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5DB2408F"/>
    <w:multiLevelType w:val="multilevel"/>
    <w:tmpl w:val="D9147F38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5F0223FC"/>
    <w:multiLevelType w:val="multilevel"/>
    <w:tmpl w:val="456838B2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616E0AD6"/>
    <w:multiLevelType w:val="multilevel"/>
    <w:tmpl w:val="B16644D0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64345B9A"/>
    <w:multiLevelType w:val="multilevel"/>
    <w:tmpl w:val="D4625118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  <w:num w:numId="12">
    <w:abstractNumId w:val="6"/>
    <w:lvlOverride w:ilvl="0"/>
  </w:num>
  <w:num w:numId="13">
    <w:abstractNumId w:val="0"/>
    <w:lvlOverride w:ilvl="0"/>
  </w:num>
  <w:num w:numId="14">
    <w:abstractNumId w:val="9"/>
    <w:lvlOverride w:ilvl="0"/>
  </w:num>
  <w:num w:numId="15">
    <w:abstractNumId w:val="3"/>
    <w:lvlOverride w:ilvl="0"/>
  </w:num>
  <w:num w:numId="16">
    <w:abstractNumId w:val="2"/>
    <w:lvlOverride w:ilvl="0"/>
  </w:num>
  <w:num w:numId="17">
    <w:abstractNumId w:val="10"/>
    <w:lvlOverride w:ilvl="0"/>
  </w:num>
  <w:num w:numId="18">
    <w:abstractNumId w:val="5"/>
    <w:lvlOverride w:ilvl="0"/>
  </w:num>
  <w:num w:numId="19">
    <w:abstractNumId w:val="7"/>
    <w:lvlOverride w:ilvl="0"/>
  </w:num>
  <w:num w:numId="20">
    <w:abstractNumId w:val="1"/>
    <w:lvlOverride w:ilvl="0"/>
  </w:num>
  <w:num w:numId="21">
    <w:abstractNumId w:val="4"/>
    <w:lvlOverride w:ilvl="0"/>
  </w:num>
  <w:num w:numId="22">
    <w:abstractNumId w:val="8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38DE"/>
    <w:rsid w:val="00293281"/>
    <w:rsid w:val="00410537"/>
    <w:rsid w:val="00EA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A38DE"/>
    <w:pPr>
      <w:widowControl/>
    </w:pPr>
  </w:style>
  <w:style w:type="paragraph" w:customStyle="1" w:styleId="Heading">
    <w:name w:val="Heading"/>
    <w:basedOn w:val="Standard"/>
    <w:next w:val="Textbody"/>
    <w:rsid w:val="00EA38D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A38DE"/>
    <w:pPr>
      <w:spacing w:after="120"/>
    </w:pPr>
  </w:style>
  <w:style w:type="paragraph" w:styleId="Seznam">
    <w:name w:val="List"/>
    <w:basedOn w:val="Textbody"/>
    <w:rsid w:val="00EA38DE"/>
  </w:style>
  <w:style w:type="paragraph" w:customStyle="1" w:styleId="Caption">
    <w:name w:val="Caption"/>
    <w:basedOn w:val="Standard"/>
    <w:rsid w:val="00EA38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A38DE"/>
    <w:pPr>
      <w:suppressLineNumbers/>
    </w:pPr>
  </w:style>
  <w:style w:type="paragraph" w:customStyle="1" w:styleId="PreformattedText">
    <w:name w:val="Preformatted Text"/>
    <w:basedOn w:val="Standard"/>
    <w:rsid w:val="00EA38DE"/>
    <w:rPr>
      <w:rFonts w:ascii="Courier New" w:eastAsia="NSimSun" w:hAnsi="Courier New" w:cs="Courier New"/>
      <w:sz w:val="20"/>
      <w:szCs w:val="20"/>
    </w:rPr>
  </w:style>
  <w:style w:type="character" w:customStyle="1" w:styleId="BulletSymbols">
    <w:name w:val="Bullet Symbols"/>
    <w:rsid w:val="00EA38DE"/>
    <w:rPr>
      <w:rFonts w:ascii="OpenSymbol" w:eastAsia="OpenSymbol" w:hAnsi="OpenSymbol" w:cs="OpenSymbol"/>
    </w:rPr>
  </w:style>
  <w:style w:type="character" w:customStyle="1" w:styleId="ListLabel1">
    <w:name w:val="ListLabel 1"/>
    <w:rsid w:val="00EA38DE"/>
    <w:rPr>
      <w:rFonts w:cs="Courier New"/>
    </w:rPr>
  </w:style>
  <w:style w:type="numbering" w:customStyle="1" w:styleId="WWNum1">
    <w:name w:val="WWNum1"/>
    <w:basedOn w:val="Bezseznamu"/>
    <w:rsid w:val="00EA38DE"/>
    <w:pPr>
      <w:numPr>
        <w:numId w:val="1"/>
      </w:numPr>
    </w:pPr>
  </w:style>
  <w:style w:type="numbering" w:customStyle="1" w:styleId="WWNum2">
    <w:name w:val="WWNum2"/>
    <w:basedOn w:val="Bezseznamu"/>
    <w:rsid w:val="00EA38DE"/>
    <w:pPr>
      <w:numPr>
        <w:numId w:val="2"/>
      </w:numPr>
    </w:pPr>
  </w:style>
  <w:style w:type="numbering" w:customStyle="1" w:styleId="WWNum3">
    <w:name w:val="WWNum3"/>
    <w:basedOn w:val="Bezseznamu"/>
    <w:rsid w:val="00EA38DE"/>
    <w:pPr>
      <w:numPr>
        <w:numId w:val="3"/>
      </w:numPr>
    </w:pPr>
  </w:style>
  <w:style w:type="numbering" w:customStyle="1" w:styleId="WWNum4">
    <w:name w:val="WWNum4"/>
    <w:basedOn w:val="Bezseznamu"/>
    <w:rsid w:val="00EA38DE"/>
    <w:pPr>
      <w:numPr>
        <w:numId w:val="4"/>
      </w:numPr>
    </w:pPr>
  </w:style>
  <w:style w:type="numbering" w:customStyle="1" w:styleId="WWNum5">
    <w:name w:val="WWNum5"/>
    <w:basedOn w:val="Bezseznamu"/>
    <w:rsid w:val="00EA38DE"/>
    <w:pPr>
      <w:numPr>
        <w:numId w:val="5"/>
      </w:numPr>
    </w:pPr>
  </w:style>
  <w:style w:type="numbering" w:customStyle="1" w:styleId="WWNum6">
    <w:name w:val="WWNum6"/>
    <w:basedOn w:val="Bezseznamu"/>
    <w:rsid w:val="00EA38DE"/>
    <w:pPr>
      <w:numPr>
        <w:numId w:val="6"/>
      </w:numPr>
    </w:pPr>
  </w:style>
  <w:style w:type="numbering" w:customStyle="1" w:styleId="WWNum7">
    <w:name w:val="WWNum7"/>
    <w:basedOn w:val="Bezseznamu"/>
    <w:rsid w:val="00EA38DE"/>
    <w:pPr>
      <w:numPr>
        <w:numId w:val="7"/>
      </w:numPr>
    </w:pPr>
  </w:style>
  <w:style w:type="numbering" w:customStyle="1" w:styleId="WWNum8">
    <w:name w:val="WWNum8"/>
    <w:basedOn w:val="Bezseznamu"/>
    <w:rsid w:val="00EA38DE"/>
    <w:pPr>
      <w:numPr>
        <w:numId w:val="8"/>
      </w:numPr>
    </w:pPr>
  </w:style>
  <w:style w:type="numbering" w:customStyle="1" w:styleId="WWNum9">
    <w:name w:val="WWNum9"/>
    <w:basedOn w:val="Bezseznamu"/>
    <w:rsid w:val="00EA38DE"/>
    <w:pPr>
      <w:numPr>
        <w:numId w:val="9"/>
      </w:numPr>
    </w:pPr>
  </w:style>
  <w:style w:type="numbering" w:customStyle="1" w:styleId="WWNum10">
    <w:name w:val="WWNum10"/>
    <w:basedOn w:val="Bezseznamu"/>
    <w:rsid w:val="00EA38DE"/>
    <w:pPr>
      <w:numPr>
        <w:numId w:val="10"/>
      </w:numPr>
    </w:pPr>
  </w:style>
  <w:style w:type="numbering" w:customStyle="1" w:styleId="WWNum11">
    <w:name w:val="WWNum11"/>
    <w:basedOn w:val="Bezseznamu"/>
    <w:rsid w:val="00EA38DE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293281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93281"/>
    <w:rPr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293281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93281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28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281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1009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Jmeno Prijmeni</dc:creator>
  <cp:lastModifiedBy>strna</cp:lastModifiedBy>
  <cp:revision>1</cp:revision>
  <dcterms:created xsi:type="dcterms:W3CDTF">2014-03-20T06:23:00Z</dcterms:created>
  <dcterms:modified xsi:type="dcterms:W3CDTF">2014-04-25T07:57:00Z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