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3A" w:rsidRPr="005C1239" w:rsidRDefault="00180A3A" w:rsidP="00180A3A">
      <w:pPr>
        <w:pStyle w:val="Nadpis1"/>
        <w:numPr>
          <w:ilvl w:val="0"/>
          <w:numId w:val="1"/>
        </w:numPr>
        <w:tabs>
          <w:tab w:val="left" w:pos="432"/>
        </w:tabs>
      </w:pPr>
      <w:bookmarkStart w:id="0" w:name="_Toc249248657"/>
      <w:r w:rsidRPr="005C1239">
        <w:t>Práce s aplikací</w:t>
      </w:r>
      <w:bookmarkEnd w:id="0"/>
    </w:p>
    <w:p w:rsidR="00180A3A" w:rsidRPr="005C1239" w:rsidRDefault="00180A3A" w:rsidP="00180A3A"/>
    <w:p w:rsidR="00180A3A" w:rsidRPr="005C1239" w:rsidRDefault="00180A3A" w:rsidP="00180A3A">
      <w:pPr>
        <w:pStyle w:val="Nadpis2"/>
        <w:numPr>
          <w:ilvl w:val="1"/>
          <w:numId w:val="1"/>
        </w:numPr>
        <w:tabs>
          <w:tab w:val="left" w:pos="576"/>
        </w:tabs>
        <w:rPr>
          <w:color w:val="000000"/>
        </w:rPr>
      </w:pPr>
      <w:bookmarkStart w:id="1" w:name="_Toc249248658"/>
      <w:r w:rsidRPr="005C1239">
        <w:rPr>
          <w:color w:val="000000"/>
        </w:rPr>
        <w:t>Přihlášení do aplikace</w:t>
      </w:r>
      <w:bookmarkEnd w:id="1"/>
    </w:p>
    <w:p w:rsidR="00180A3A" w:rsidRPr="005C1239" w:rsidRDefault="00180A3A" w:rsidP="00180A3A">
      <w:pPr>
        <w:ind w:left="432" w:firstLine="276"/>
        <w:rPr>
          <w:color w:val="000000"/>
        </w:rPr>
      </w:pPr>
    </w:p>
    <w:p w:rsidR="00180A3A" w:rsidRPr="005C1239" w:rsidRDefault="00180A3A" w:rsidP="00180A3A">
      <w:pPr>
        <w:pStyle w:val="Zkladntext-prvnodsazen2"/>
      </w:pPr>
      <w:r w:rsidRPr="005C1239">
        <w:t xml:space="preserve">Aplikace je přístupná z internetu prostřednictvím WWW adresy: </w:t>
      </w:r>
      <w:hyperlink r:id="rId5" w:history="1">
        <w:r w:rsidRPr="005C1239">
          <w:rPr>
            <w:rStyle w:val="Hypertextovodkaz"/>
          </w:rPr>
          <w:t xml:space="preserve"> http://xxx </w:t>
        </w:r>
      </w:hyperlink>
      <w:r w:rsidRPr="005C1239">
        <w:t xml:space="preserve"> (příslušná adresa je pochopitelně závislá na adrese cílové instalace aplikace) Po spuštění aplikace se zobrazí úvodní stránka</w:t>
      </w:r>
      <w:r w:rsidRPr="005C1239">
        <w:fldChar w:fldCharType="begin"/>
      </w:r>
      <w:r w:rsidRPr="005C1239">
        <w:instrText xml:space="preserve"> XE „úvodní stránka“ </w:instrText>
      </w:r>
      <w:r w:rsidRPr="005C1239">
        <w:fldChar w:fldCharType="end"/>
      </w:r>
      <w:r w:rsidRPr="005C1239">
        <w:t xml:space="preserve"> s formulářem pro vstup do aplikace</w:t>
      </w:r>
      <w:r w:rsidRPr="005C1239">
        <w:fldChar w:fldCharType="begin"/>
      </w:r>
      <w:r w:rsidRPr="005C1239">
        <w:instrText xml:space="preserve"> XE „vstup do aplikace“ </w:instrText>
      </w:r>
      <w:r w:rsidRPr="005C1239">
        <w:fldChar w:fldCharType="end"/>
      </w:r>
      <w:r w:rsidRPr="005C1239">
        <w:t xml:space="preserve">. </w:t>
      </w:r>
    </w:p>
    <w:p w:rsidR="00180A3A" w:rsidRPr="005C1239" w:rsidRDefault="00180A3A" w:rsidP="00180A3A">
      <w:pPr>
        <w:ind w:left="432" w:firstLine="276"/>
        <w:rPr>
          <w:color w:val="000000"/>
        </w:rPr>
      </w:pPr>
    </w:p>
    <w:p w:rsidR="00180A3A" w:rsidRPr="005C1239" w:rsidRDefault="00180A3A" w:rsidP="00180A3A">
      <w:pPr>
        <w:rPr>
          <w:color w:val="000000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5724525" cy="4152900"/>
            <wp:effectExtent l="19050" t="19050" r="28575" b="190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1529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80A3A" w:rsidRPr="005C1239" w:rsidRDefault="00180A3A" w:rsidP="00180A3A">
      <w:pPr>
        <w:ind w:left="432" w:firstLine="276"/>
        <w:rPr>
          <w:color w:val="000000"/>
        </w:rPr>
      </w:pPr>
    </w:p>
    <w:p w:rsidR="00180A3A" w:rsidRPr="005C1239" w:rsidRDefault="00180A3A" w:rsidP="00180A3A">
      <w:pPr>
        <w:ind w:left="432" w:firstLine="276"/>
        <w:rPr>
          <w:color w:val="000000"/>
        </w:rPr>
      </w:pPr>
    </w:p>
    <w:p w:rsidR="00180A3A" w:rsidRPr="005C1239" w:rsidRDefault="00180A3A" w:rsidP="00180A3A">
      <w:pPr>
        <w:pStyle w:val="Zkladntext-prvnodsazen2"/>
      </w:pPr>
      <w:r w:rsidRPr="005C1239">
        <w:t>Po zadání uživatelského jména</w:t>
      </w:r>
      <w:r w:rsidRPr="005C1239">
        <w:fldChar w:fldCharType="begin"/>
      </w:r>
      <w:r w:rsidRPr="005C1239">
        <w:instrText xml:space="preserve"> XE „uživatelské jméno“ </w:instrText>
      </w:r>
      <w:r w:rsidRPr="005C1239">
        <w:fldChar w:fldCharType="end"/>
      </w:r>
      <w:r w:rsidRPr="005C1239">
        <w:t xml:space="preserve"> a hesla</w:t>
      </w:r>
      <w:r w:rsidRPr="005C1239">
        <w:fldChar w:fldCharType="begin"/>
      </w:r>
      <w:r w:rsidRPr="005C1239">
        <w:instrText xml:space="preserve"> XE „heslo“ </w:instrText>
      </w:r>
      <w:r w:rsidRPr="005C1239">
        <w:fldChar w:fldCharType="end"/>
      </w:r>
      <w:r w:rsidRPr="005C1239">
        <w:t xml:space="preserve">, a zvolení </w:t>
      </w:r>
      <w:proofErr w:type="gramStart"/>
      <w:r w:rsidRPr="005C1239">
        <w:t>databáze do</w:t>
      </w:r>
      <w:proofErr w:type="gramEnd"/>
      <w:r w:rsidRPr="005C1239">
        <w:t xml:space="preserve"> které se chce uživatel přihlásit (z rozbalovacího seznamu). Kliknutím na tlačítko </w:t>
      </w:r>
      <w:r w:rsidRPr="005C1239">
        <w:rPr>
          <w:rFonts w:ascii="Arial" w:hAnsi="Arial" w:cs="Arial"/>
          <w:b/>
          <w:bCs/>
          <w:sz w:val="20"/>
          <w:szCs w:val="20"/>
        </w:rPr>
        <w:t>[ Vstup ]</w:t>
      </w:r>
      <w:r w:rsidRPr="005C1239">
        <w:t xml:space="preserve"> nebo stisknutím klávesy Enter se provede přihlášení do aplikace.</w:t>
      </w:r>
    </w:p>
    <w:p w:rsidR="00180A3A" w:rsidRPr="005C1239" w:rsidRDefault="00180A3A" w:rsidP="00180A3A">
      <w:pPr>
        <w:pStyle w:val="Zkladntext-prvnodsazen2"/>
      </w:pPr>
      <w:r w:rsidRPr="005C1239">
        <w:t xml:space="preserve">Z úvodní přihlašovací stránky lze také vstoupit do samostatného </w:t>
      </w:r>
      <w:proofErr w:type="spellStart"/>
      <w:r w:rsidRPr="005C1239">
        <w:t>Grouperu</w:t>
      </w:r>
      <w:proofErr w:type="spellEnd"/>
      <w:r w:rsidRPr="005C1239">
        <w:t xml:space="preserve"> a to bez nutnosti zadávat uživatelské jméno nebo heslo. Blíže o tomto v kapitole 4.3.3 </w:t>
      </w:r>
      <w:proofErr w:type="spellStart"/>
      <w:r w:rsidRPr="005C1239">
        <w:t>Grouper</w:t>
      </w:r>
      <w:proofErr w:type="spellEnd"/>
      <w:r w:rsidRPr="005C1239">
        <w:t>.</w:t>
      </w:r>
    </w:p>
    <w:p w:rsidR="00180A3A" w:rsidRPr="005C1239" w:rsidRDefault="00180A3A" w:rsidP="00180A3A">
      <w:pPr>
        <w:pStyle w:val="Zkladntext-prvnodsazen2"/>
      </w:pPr>
      <w:r w:rsidRPr="005C1239">
        <w:br w:type="page"/>
      </w:r>
      <w:r w:rsidRPr="005C1239">
        <w:lastRenderedPageBreak/>
        <w:t>Pokud bylo při přihlášení zadáno správné uživatelské jméno a heslo, zobrazí se hlavní stránka aplikace</w:t>
      </w:r>
      <w:r w:rsidRPr="005C1239">
        <w:fldChar w:fldCharType="begin"/>
      </w:r>
      <w:r w:rsidRPr="005C1239">
        <w:instrText xml:space="preserve"> XE „hlavní stránka aplikace“ </w:instrText>
      </w:r>
      <w:r w:rsidRPr="005C1239">
        <w:fldChar w:fldCharType="end"/>
      </w:r>
      <w:r w:rsidRPr="005C1239">
        <w:t xml:space="preserve"> s rozbalovacím menu v horní části a se čtyřmi přehledovými grafy:</w:t>
      </w:r>
    </w:p>
    <w:p w:rsidR="00180A3A" w:rsidRPr="005C1239" w:rsidRDefault="00180A3A" w:rsidP="00180A3A">
      <w:pPr>
        <w:ind w:left="432" w:firstLine="276"/>
        <w:rPr>
          <w:color w:val="000000"/>
        </w:rPr>
      </w:pPr>
    </w:p>
    <w:p w:rsidR="00180A3A" w:rsidRPr="005C1239" w:rsidRDefault="00180A3A" w:rsidP="00180A3A">
      <w:pPr>
        <w:rPr>
          <w:color w:val="000000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5762625" cy="4648200"/>
            <wp:effectExtent l="19050" t="19050" r="28575" b="190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482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80A3A" w:rsidRPr="005C1239" w:rsidRDefault="00180A3A" w:rsidP="00180A3A">
      <w:pPr>
        <w:ind w:left="432" w:firstLine="276"/>
        <w:rPr>
          <w:color w:val="000000"/>
        </w:rPr>
      </w:pPr>
    </w:p>
    <w:p w:rsidR="00180A3A" w:rsidRPr="005C1239" w:rsidRDefault="00180A3A" w:rsidP="00180A3A">
      <w:pPr>
        <w:pStyle w:val="Zkladntext-prvnodsazen2"/>
      </w:pPr>
      <w:r w:rsidRPr="005C1239">
        <w:t xml:space="preserve">Grafy zobrazují počet případů hospitalizace, </w:t>
      </w:r>
      <w:proofErr w:type="spellStart"/>
      <w:r w:rsidRPr="005C1239">
        <w:t>casemix</w:t>
      </w:r>
      <w:proofErr w:type="spellEnd"/>
      <w:r w:rsidRPr="005C1239">
        <w:t xml:space="preserve"> index, vykázané body a náklady na léčiva a PZT a to pro aktuální rok. V grafech jsou pomocnou </w:t>
      </w:r>
      <w:proofErr w:type="gramStart"/>
      <w:r w:rsidRPr="005C1239">
        <w:t>čárou  zobrazeny</w:t>
      </w:r>
      <w:proofErr w:type="gramEnd"/>
      <w:r w:rsidRPr="005C1239">
        <w:t xml:space="preserve"> pro porovnání i hodnoty z roku minulého, jsou li v systému (v DB) k dispozici.</w:t>
      </w:r>
    </w:p>
    <w:p w:rsidR="00180A3A" w:rsidRPr="005C1239" w:rsidRDefault="00180A3A" w:rsidP="00180A3A">
      <w:pPr>
        <w:pStyle w:val="Zkladntext-prvnodsazen2"/>
      </w:pPr>
      <w:r w:rsidRPr="005C1239">
        <w:t>Nad grafy je zobrazena tabulka výběru filtrování dat pro grafy. Pomocí rozbalovacích seznamů lze zobrazovat data z různých zdrojů a pro různá IČZ (pokud je k dispozici pouze jeden údaj pro filtrování, např. jen jeden zdroj dat, nebo jedno IČZ, nelze v daném výběru pochopitelně přepínat)</w:t>
      </w:r>
      <w:r>
        <w:t>. Dále je zde možnost nastavit, za jaký rok se mají data grafů zobrazovat.</w:t>
      </w:r>
    </w:p>
    <w:p w:rsidR="00180A3A" w:rsidRPr="005C1239" w:rsidRDefault="00180A3A" w:rsidP="00180A3A">
      <w:pPr>
        <w:pStyle w:val="Zkladntext-prvnodsazen2"/>
      </w:pPr>
      <w:r w:rsidRPr="005C1239">
        <w:t>V horní části se pak zobrazuje hlavní menu aplikace, přičemž počet zobrazovaných položek v menu a v jeho rozbalovacích seznamech se může lišit podle tohoto, ke kterým objektům má aktuální uživatel přiřazeny uživatelská práva</w:t>
      </w:r>
      <w:r w:rsidRPr="005C1239">
        <w:fldChar w:fldCharType="begin"/>
      </w:r>
      <w:r w:rsidRPr="005C1239">
        <w:instrText xml:space="preserve"> XE „uživatelská práva“ </w:instrText>
      </w:r>
      <w:r w:rsidRPr="005C1239">
        <w:fldChar w:fldCharType="end"/>
      </w:r>
      <w:r w:rsidRPr="005C1239">
        <w:t>.</w:t>
      </w:r>
    </w:p>
    <w:p w:rsidR="00180A3A" w:rsidRPr="005C1239" w:rsidRDefault="00180A3A" w:rsidP="00180A3A">
      <w:pPr>
        <w:ind w:left="432" w:firstLine="276"/>
        <w:rPr>
          <w:color w:val="000000"/>
        </w:rPr>
      </w:pPr>
      <w:r w:rsidRPr="005C1239">
        <w:rPr>
          <w:color w:val="000000"/>
        </w:rPr>
        <w:t xml:space="preserve">V pravém horním rohu se zobrazuje malý obdélník s názvem aplikace a aktuálně </w:t>
      </w:r>
      <w:proofErr w:type="spellStart"/>
      <w:r w:rsidRPr="005C1239">
        <w:rPr>
          <w:color w:val="000000"/>
        </w:rPr>
        <w:t>zalogovaným</w:t>
      </w:r>
      <w:proofErr w:type="spellEnd"/>
      <w:r w:rsidRPr="005C1239">
        <w:rPr>
          <w:color w:val="000000"/>
        </w:rPr>
        <w:t xml:space="preserve"> uživatelem. Po najetí myší na tento obdélník se zobrazí detailnější údaje o aplikaci a typ použité databáze.</w:t>
      </w:r>
    </w:p>
    <w:p w:rsidR="00180A3A" w:rsidRPr="005C1239" w:rsidRDefault="00180A3A" w:rsidP="00180A3A">
      <w:pPr>
        <w:pStyle w:val="Zkladntext-prvnodsazen"/>
      </w:pPr>
    </w:p>
    <w:tbl>
      <w:tblPr>
        <w:tblW w:w="0" w:type="auto"/>
        <w:tblLayout w:type="fixed"/>
        <w:tblLook w:val="0000"/>
      </w:tblPr>
      <w:tblGrid>
        <w:gridCol w:w="828"/>
        <w:gridCol w:w="8382"/>
      </w:tblGrid>
      <w:tr w:rsidR="00180A3A" w:rsidRPr="005C1239" w:rsidTr="004B756F">
        <w:trPr>
          <w:cantSplit/>
        </w:trPr>
        <w:tc>
          <w:tcPr>
            <w:tcW w:w="828" w:type="dxa"/>
            <w:vAlign w:val="center"/>
          </w:tcPr>
          <w:p w:rsidR="00180A3A" w:rsidRPr="005C1239" w:rsidRDefault="00180A3A" w:rsidP="004B756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lang w:eastAsia="cs-CZ"/>
              </w:rPr>
              <w:drawing>
                <wp:inline distT="0" distB="0" distL="0" distR="0">
                  <wp:extent cx="342900" cy="304800"/>
                  <wp:effectExtent l="1905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2" w:type="dxa"/>
            <w:vAlign w:val="center"/>
          </w:tcPr>
          <w:p w:rsidR="00180A3A" w:rsidRPr="005C1239" w:rsidRDefault="00180A3A" w:rsidP="004B756F">
            <w:pPr>
              <w:snapToGrid w:val="0"/>
              <w:rPr>
                <w:color w:val="000000"/>
                <w:sz w:val="20"/>
                <w:szCs w:val="20"/>
              </w:rPr>
            </w:pPr>
            <w:r w:rsidRPr="005C1239">
              <w:rPr>
                <w:color w:val="000000"/>
                <w:sz w:val="20"/>
                <w:szCs w:val="20"/>
              </w:rPr>
              <w:t xml:space="preserve">Grafy zobrazují </w:t>
            </w:r>
            <w:proofErr w:type="gramStart"/>
            <w:r w:rsidRPr="005C1239">
              <w:rPr>
                <w:color w:val="000000"/>
                <w:sz w:val="20"/>
                <w:szCs w:val="20"/>
              </w:rPr>
              <w:t>data která</w:t>
            </w:r>
            <w:proofErr w:type="gramEnd"/>
            <w:r w:rsidRPr="005C1239">
              <w:rPr>
                <w:color w:val="000000"/>
                <w:sz w:val="20"/>
                <w:szCs w:val="20"/>
              </w:rPr>
              <w:t xml:space="preserve"> byly do databáze nahrány a </w:t>
            </w:r>
            <w:proofErr w:type="spellStart"/>
            <w:r w:rsidRPr="005C1239">
              <w:rPr>
                <w:color w:val="000000"/>
                <w:sz w:val="20"/>
                <w:szCs w:val="20"/>
              </w:rPr>
              <w:t>zagroupovány</w:t>
            </w:r>
            <w:proofErr w:type="spellEnd"/>
            <w:r w:rsidRPr="005C1239">
              <w:rPr>
                <w:color w:val="000000"/>
                <w:sz w:val="20"/>
                <w:szCs w:val="20"/>
              </w:rPr>
              <w:t xml:space="preserve">. Pokud se provede pouze nalití dat bez </w:t>
            </w:r>
            <w:proofErr w:type="spellStart"/>
            <w:r w:rsidRPr="005C1239">
              <w:rPr>
                <w:color w:val="000000"/>
                <w:sz w:val="20"/>
                <w:szCs w:val="20"/>
              </w:rPr>
              <w:t>zagroupování</w:t>
            </w:r>
            <w:proofErr w:type="spellEnd"/>
            <w:r w:rsidRPr="005C1239">
              <w:rPr>
                <w:color w:val="000000"/>
                <w:sz w:val="20"/>
                <w:szCs w:val="20"/>
              </w:rPr>
              <w:t xml:space="preserve"> tak se nově nalité data v grafech nezobrazí. Viz kapitola Přiřazení </w:t>
            </w:r>
            <w:proofErr w:type="spellStart"/>
            <w:r w:rsidRPr="005C1239">
              <w:rPr>
                <w:color w:val="000000"/>
                <w:sz w:val="20"/>
                <w:szCs w:val="20"/>
              </w:rPr>
              <w:t>Drg</w:t>
            </w:r>
            <w:proofErr w:type="spellEnd"/>
            <w:r w:rsidRPr="005C1239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180A3A" w:rsidRPr="005C1239" w:rsidRDefault="00180A3A" w:rsidP="00180A3A"/>
    <w:p w:rsidR="00180A3A" w:rsidRPr="005C1239" w:rsidRDefault="00180A3A" w:rsidP="00180A3A">
      <w:pPr>
        <w:pStyle w:val="Nadpis2"/>
        <w:numPr>
          <w:ilvl w:val="1"/>
          <w:numId w:val="1"/>
        </w:numPr>
      </w:pPr>
      <w:r w:rsidRPr="005C1239">
        <w:br w:type="page"/>
      </w:r>
      <w:bookmarkStart w:id="2" w:name="_Toc249248659"/>
      <w:r w:rsidRPr="005C1239">
        <w:lastRenderedPageBreak/>
        <w:t>Popis úvodních grafů</w:t>
      </w:r>
      <w:bookmarkEnd w:id="2"/>
    </w:p>
    <w:p w:rsidR="00180A3A" w:rsidRPr="005C1239" w:rsidRDefault="00180A3A" w:rsidP="00180A3A">
      <w:pPr>
        <w:pStyle w:val="Nadpis3"/>
        <w:numPr>
          <w:ilvl w:val="2"/>
          <w:numId w:val="1"/>
        </w:numPr>
        <w:tabs>
          <w:tab w:val="left" w:pos="1260"/>
        </w:tabs>
        <w:rPr>
          <w:color w:val="000000"/>
        </w:rPr>
      </w:pPr>
      <w:bookmarkStart w:id="3" w:name="_Toc249248660"/>
      <w:r w:rsidRPr="005C1239">
        <w:rPr>
          <w:color w:val="000000"/>
        </w:rPr>
        <w:t>Počet případů hospitalizace</w:t>
      </w:r>
      <w:bookmarkEnd w:id="3"/>
    </w:p>
    <w:p w:rsidR="00180A3A" w:rsidRPr="005C1239" w:rsidRDefault="00180A3A" w:rsidP="00180A3A">
      <w:pPr>
        <w:pStyle w:val="Zkladntext-prvnodsazen2"/>
      </w:pPr>
    </w:p>
    <w:p w:rsidR="00180A3A" w:rsidRPr="005C1239" w:rsidRDefault="00180A3A" w:rsidP="00180A3A">
      <w:pPr>
        <w:pStyle w:val="Zkladntext-prvnodsazen2"/>
      </w:pPr>
      <w:r w:rsidRPr="005C1239">
        <w:t>Graf vyjadřuje počet uzavřených (sestavených) případů hospitalizace (osa Y s názvem "Počet případů") v jednotlivých měsících roku (osa X s názvy jednotlivých měsíců v roce).</w:t>
      </w:r>
      <w:r w:rsidRPr="005C1239">
        <w:br/>
        <w:t xml:space="preserve">Každý zobrazený rok je odlišen jinou barevnou modifikací – </w:t>
      </w:r>
      <w:proofErr w:type="gramStart"/>
      <w:r w:rsidRPr="005C1239">
        <w:t>viz. legenda</w:t>
      </w:r>
      <w:proofErr w:type="gramEnd"/>
      <w:r w:rsidRPr="005C1239">
        <w:t xml:space="preserve"> pod grafem.</w:t>
      </w:r>
    </w:p>
    <w:p w:rsidR="00180A3A" w:rsidRPr="005C1239" w:rsidRDefault="00180A3A" w:rsidP="00180A3A">
      <w:pPr>
        <w:pStyle w:val="Zkladntext-prvnodsazen2"/>
      </w:pPr>
      <w:r w:rsidRPr="005C1239">
        <w:t xml:space="preserve">Případy hospitalizace jsou sestavovány z vykázaných klinických dat za určité období. </w:t>
      </w:r>
      <w:proofErr w:type="gramStart"/>
      <w:r w:rsidRPr="005C1239">
        <w:t>obdobím</w:t>
      </w:r>
      <w:proofErr w:type="gramEnd"/>
      <w:r w:rsidRPr="005C1239">
        <w:t xml:space="preserve"> je myšlen měsíc a rok, kdy klinická data byla předána zdravotní pojišťovně (ZP) ke kontrole a proplacení. Sestavení případů je prováděno ihned po vstupu dat do systému DRG FN Bulovka. Případy jsou sestavovány na základě aktuálně platného algoritmu</w:t>
      </w:r>
      <w:r w:rsidRPr="005C1239">
        <w:br/>
        <w:t>sestavení případu hospitalizace definované v metodice NRC DRG (Národní Referenční Centrum DRG) dostupné v současné době na www stránkách ministerstva zdravotnictví ČR (MZ ČR).</w:t>
      </w:r>
    </w:p>
    <w:p w:rsidR="00180A3A" w:rsidRPr="005C1239" w:rsidRDefault="00180A3A" w:rsidP="00180A3A">
      <w:pPr>
        <w:pStyle w:val="Zkladntext-prvnodsazen2"/>
      </w:pPr>
      <w:r w:rsidRPr="005C1239">
        <w:t xml:space="preserve">Pro zjednodušení: případ je skládán z kontinuálních hospitalizačních dokladů 02 a k nim se vázajících dokladů 03 a dalších typů dokladů - (sestavený případ může přesahovat období předání dat do ZP, </w:t>
      </w:r>
      <w:proofErr w:type="gramStart"/>
      <w:r w:rsidRPr="005C1239">
        <w:t>tzn.</w:t>
      </w:r>
      <w:proofErr w:type="gramEnd"/>
      <w:r w:rsidRPr="005C1239">
        <w:t xml:space="preserve"> hospitalizační doklad se v sestavení případů </w:t>
      </w:r>
      <w:proofErr w:type="gramStart"/>
      <w:r w:rsidRPr="005C1239">
        <w:t>neobjeví</w:t>
      </w:r>
      <w:proofErr w:type="gramEnd"/>
      <w:r w:rsidRPr="005C1239">
        <w:t>, jelikož hospitalizace pacienta nebyla v tomto období ukončena - algoritmus čeká na ukončení hospitalizace) - viz zmíněná definice. Takto sestavené případy jsou posléze "</w:t>
      </w:r>
      <w:proofErr w:type="spellStart"/>
      <w:proofErr w:type="gramStart"/>
      <w:r w:rsidRPr="005C1239">
        <w:t>zagroupovány</w:t>
      </w:r>
      <w:proofErr w:type="spellEnd"/>
      <w:r w:rsidRPr="005C1239">
        <w:t>" , čili</w:t>
      </w:r>
      <w:proofErr w:type="gramEnd"/>
      <w:r w:rsidRPr="005C1239">
        <w:t xml:space="preserve"> jsou zařazeny do skupin diagnóz, které je prováděno aktuálně platným </w:t>
      </w:r>
      <w:proofErr w:type="spellStart"/>
      <w:r w:rsidRPr="005C1239">
        <w:t>grouperem</w:t>
      </w:r>
      <w:proofErr w:type="spellEnd"/>
      <w:r w:rsidRPr="005C1239">
        <w:t xml:space="preserve"> DRG, jehož definiční manuál (pravidla, na základě nichž jsou případy zařazovány) je opět dostupný na stránkách MZ ČR. Všechny tyto vlastnosti jsou plně</w:t>
      </w:r>
      <w:r w:rsidRPr="005C1239">
        <w:br/>
        <w:t>integrovány do systému DRG FN Bulovka. Případy sestavované v systému DRG FN Bulovka se zpětně již nepřepočítávají, tj. v případě kdy byly data od zdravotní pojišťovny</w:t>
      </w:r>
      <w:r w:rsidRPr="005C1239">
        <w:br/>
        <w:t xml:space="preserve">vrácena k opravě. Pokud by </w:t>
      </w:r>
      <w:proofErr w:type="gramStart"/>
      <w:r w:rsidRPr="005C1239">
        <w:t>chtělo</w:t>
      </w:r>
      <w:proofErr w:type="gramEnd"/>
      <w:r w:rsidRPr="005C1239">
        <w:t xml:space="preserve"> zdravotní zařízení případy zpětně přepočítávat </w:t>
      </w:r>
      <w:proofErr w:type="gramStart"/>
      <w:r w:rsidRPr="005C1239">
        <w:t>je</w:t>
      </w:r>
      <w:proofErr w:type="gramEnd"/>
      <w:r w:rsidRPr="005C1239">
        <w:t xml:space="preserve"> nutné provádět celý postup opakovaně; tj. nejdříve smazat všechny </w:t>
      </w:r>
      <w:proofErr w:type="spellStart"/>
      <w:r w:rsidRPr="005C1239">
        <w:t>zagroupované</w:t>
      </w:r>
      <w:proofErr w:type="spellEnd"/>
      <w:r w:rsidRPr="005C1239">
        <w:t xml:space="preserve"> a sestavené případy, klinická data a posléze opravená data načíst, sestavit a </w:t>
      </w:r>
      <w:proofErr w:type="spellStart"/>
      <w:r w:rsidRPr="005C1239">
        <w:t>zagroupovat.V</w:t>
      </w:r>
      <w:proofErr w:type="spellEnd"/>
      <w:r w:rsidRPr="005C1239">
        <w:t xml:space="preserve"> případě DRG systému FN Bulovka lze zpracovávat data přímo z interního nemocničního informačního systému UNIS, nebo ze souborů KDAVKA. Data z </w:t>
      </w:r>
      <w:proofErr w:type="spellStart"/>
      <w:r w:rsidRPr="005C1239">
        <w:t>UNISu</w:t>
      </w:r>
      <w:proofErr w:type="spellEnd"/>
      <w:r w:rsidRPr="005C1239">
        <w:t xml:space="preserve"> obsahují </w:t>
      </w:r>
      <w:proofErr w:type="gramStart"/>
      <w:r w:rsidRPr="005C1239">
        <w:t>vše co</w:t>
      </w:r>
      <w:proofErr w:type="gramEnd"/>
      <w:r w:rsidRPr="005C1239">
        <w:t xml:space="preserve"> bylo skutečně vykázáno, tj. i data fiktivních pojišťoven, kdežto data vstupující ze souborů KDAVKA obsahují pouze data, která byla skutečně předána do reálných ZP.</w:t>
      </w:r>
    </w:p>
    <w:p w:rsidR="00180A3A" w:rsidRPr="005C1239" w:rsidRDefault="00180A3A" w:rsidP="00180A3A"/>
    <w:p w:rsidR="00BD170D" w:rsidRPr="00BD551A" w:rsidRDefault="00180A3A"/>
    <w:sectPr w:rsidR="00BD170D" w:rsidRPr="00BD551A" w:rsidSect="00A46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"/>
      <w:lvlJc w:val="left"/>
      <w:pPr>
        <w:tabs>
          <w:tab w:val="num" w:pos="1531"/>
        </w:tabs>
        <w:ind w:left="1531" w:hanging="907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0A3A"/>
    <w:rsid w:val="00132861"/>
    <w:rsid w:val="00180A3A"/>
    <w:rsid w:val="002545A2"/>
    <w:rsid w:val="004C6378"/>
    <w:rsid w:val="007D1827"/>
    <w:rsid w:val="00A46143"/>
    <w:rsid w:val="00A93246"/>
    <w:rsid w:val="00B52E9B"/>
    <w:rsid w:val="00BD551A"/>
    <w:rsid w:val="00C94206"/>
    <w:rsid w:val="00D761B1"/>
    <w:rsid w:val="00F8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A3A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80A3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80A3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180A3A"/>
    <w:pPr>
      <w:keepNext/>
      <w:tabs>
        <w:tab w:val="num" w:pos="1260"/>
      </w:tabs>
      <w:spacing w:before="240" w:after="60"/>
      <w:ind w:left="126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0A3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180A3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180A3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Hypertextovodkaz">
    <w:name w:val="Hyperlink"/>
    <w:basedOn w:val="Standardnpsmoodstavce"/>
    <w:rsid w:val="00180A3A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80A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0A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-prvnodsazen">
    <w:name w:val="Body Text First Indent"/>
    <w:basedOn w:val="Zkladntext"/>
    <w:link w:val="Zkladntext-prvnodsazenChar"/>
    <w:rsid w:val="00180A3A"/>
    <w:pPr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180A3A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80A3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80A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-prvnodsazen2">
    <w:name w:val="Body Text First Indent 2"/>
    <w:basedOn w:val="Zkladntextodsazen"/>
    <w:link w:val="Zkladntext-prvnodsazen2Char1"/>
    <w:rsid w:val="00180A3A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80A3A"/>
  </w:style>
  <w:style w:type="character" w:customStyle="1" w:styleId="Zkladntext-prvnodsazen2Char1">
    <w:name w:val="Základní text - první odsazený 2 Char1"/>
    <w:aliases w:val="Základní text - první odsazený 2 Char Char"/>
    <w:basedOn w:val="ZkladntextodsazenChar"/>
    <w:link w:val="Zkladntext-prvnodsazen2"/>
    <w:rsid w:val="00180A3A"/>
  </w:style>
  <w:style w:type="paragraph" w:styleId="Textbubliny">
    <w:name w:val="Balloon Text"/>
    <w:basedOn w:val="Normln"/>
    <w:link w:val="TextbublinyChar"/>
    <w:uiPriority w:val="99"/>
    <w:semiHidden/>
    <w:unhideWhenUsed/>
    <w:rsid w:val="00180A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A3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file:///\\asterix\Users\Josef%20Kreutzer\AppData\tmp\%20http:\xx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3893</Characters>
  <Application>Microsoft Office Word</Application>
  <DocSecurity>0</DocSecurity>
  <Lines>32</Lines>
  <Paragraphs>9</Paragraphs>
  <ScaleCrop>false</ScaleCrop>
  <Company>zshk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lenta</dc:creator>
  <cp:keywords/>
  <dc:description/>
  <cp:lastModifiedBy>lenta</cp:lastModifiedBy>
  <cp:revision>1</cp:revision>
  <dcterms:created xsi:type="dcterms:W3CDTF">2011-12-20T16:28:00Z</dcterms:created>
  <dcterms:modified xsi:type="dcterms:W3CDTF">2011-12-20T16:29:00Z</dcterms:modified>
</cp:coreProperties>
</file>